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4F" w:rsidRDefault="00E01887">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Ревизорски извјештај</w:t>
      </w:r>
    </w:p>
    <w:tbl>
      <w:tblPr>
        <w:tblW w:w="137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090"/>
        <w:gridCol w:w="5615"/>
      </w:tblGrid>
      <w:tr w:rsidR="0025244F">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Назив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Ревизија накнада одборника и чланова скупштинских комисија у Стручној служби Скупштине општине Прњавор</w:t>
            </w:r>
          </w:p>
        </w:tc>
      </w:tr>
      <w:tr w:rsidR="0025244F">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Временски период обухваћен ревизијом:</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01/03/2023 - 31/03/2023</w:t>
            </w:r>
          </w:p>
        </w:tc>
      </w:tr>
      <w:tr w:rsidR="0025244F">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hAnsi="Times New Roman" w:cs="Times New Roman"/>
                <w:b/>
                <w:bCs/>
                <w:sz w:val="20"/>
                <w:szCs w:val="20"/>
              </w:rPr>
              <w:t>Број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hAnsi="Times New Roman" w:cs="Times New Roman"/>
                <w:sz w:val="20"/>
                <w:szCs w:val="20"/>
              </w:rPr>
            </w:pPr>
            <w:r>
              <w:rPr>
                <w:rFonts w:ascii="Times New Roman" w:hAnsi="Times New Roman" w:cs="Times New Roman"/>
                <w:sz w:val="20"/>
                <w:szCs w:val="20"/>
              </w:rPr>
              <w:t>13-014-60/23</w:t>
            </w:r>
          </w:p>
        </w:tc>
      </w:tr>
      <w:tr w:rsidR="0025244F">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 xml:space="preserve">Назив ревидираног </w:t>
            </w:r>
            <w:r>
              <w:rPr>
                <w:rFonts w:ascii="Times New Roman" w:eastAsia="Times New Roman" w:hAnsi="Times New Roman" w:cs="Times New Roman"/>
                <w:b/>
                <w:bCs/>
                <w:color w:val="000000"/>
                <w:sz w:val="20"/>
                <w:szCs w:val="20"/>
              </w:rPr>
              <w:t>субјекта/oрганизационе јединице укључене у ревидирани процес:</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Стручна служба Скупштине општине Прњавор </w:t>
            </w:r>
          </w:p>
        </w:tc>
      </w:tr>
      <w:tr w:rsidR="0025244F">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Вођа ревизорског тима: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tabs>
                <w:tab w:val="left" w:pos="300"/>
                <w:tab w:val="center" w:pos="26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tc>
      </w:tr>
      <w:tr w:rsidR="0025244F">
        <w:trPr>
          <w:trHeight w:val="90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Чланови ревизорског тима: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5244F">
        <w:trPr>
          <w:trHeight w:val="312"/>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ИЗВРШНИ РЕЗИМЕ</w:t>
            </w:r>
          </w:p>
        </w:tc>
      </w:tr>
      <w:tr w:rsidR="0025244F">
        <w:trPr>
          <w:trHeight w:val="611"/>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pStyle w:val="CommentText"/>
            </w:pPr>
            <w:r>
              <w:rPr>
                <w:rFonts w:ascii="Times New Roman" w:hAnsi="Times New Roman" w:cs="Times New Roman"/>
                <w:b/>
                <w:bCs/>
              </w:rPr>
              <w:t xml:space="preserve">Слободан текст </w:t>
            </w:r>
            <w:r>
              <w:rPr>
                <w:rFonts w:ascii="Times New Roman" w:hAnsi="Times New Roman" w:cs="Times New Roman"/>
              </w:rPr>
              <w:t xml:space="preserve">(навести  кратак опис циљева и обима </w:t>
            </w:r>
            <w:r>
              <w:rPr>
                <w:rFonts w:ascii="Times New Roman" w:hAnsi="Times New Roman" w:cs="Times New Roman"/>
              </w:rPr>
              <w:t>ревизије, нај</w:t>
            </w:r>
            <w:r w:rsidR="002E3FDD">
              <w:rPr>
                <w:rFonts w:ascii="Times New Roman" w:hAnsi="Times New Roman" w:cs="Times New Roman"/>
              </w:rPr>
              <w:t>значајнијих налаза ревизије и њ</w:t>
            </w:r>
            <w:r>
              <w:rPr>
                <w:rFonts w:ascii="Times New Roman" w:hAnsi="Times New Roman" w:cs="Times New Roman"/>
              </w:rPr>
              <w:t>има везаних ризика)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color w:val="000000"/>
                <w:sz w:val="20"/>
                <w:szCs w:val="20"/>
              </w:rPr>
              <w:t> Највећа буџетска ставка у Стручној служби Скупштине општине Прњавор (412900 - Накнаде одборника и чланова скупштинских комисија) је предмет ове интерне ревизије како би се увјерили на који н</w:t>
            </w:r>
            <w:r>
              <w:rPr>
                <w:rFonts w:ascii="Times New Roman" w:eastAsia="Times New Roman" w:hAnsi="Times New Roman" w:cs="Times New Roman"/>
                <w:color w:val="000000"/>
                <w:sz w:val="20"/>
                <w:szCs w:val="20"/>
              </w:rPr>
              <w:t>ачин се иста адекватно планира и да ли се средства исплаћују за наведене намјене односно на који начин се исплаћује одборничка накнада и накнада за рад скупштинских радних тијела. Овом интерном ревизијом је обухваћена 2022. година мандатног сазива одборник</w:t>
            </w:r>
            <w:r>
              <w:rPr>
                <w:rFonts w:ascii="Times New Roman" w:eastAsia="Times New Roman" w:hAnsi="Times New Roman" w:cs="Times New Roman"/>
                <w:color w:val="000000"/>
                <w:sz w:val="20"/>
                <w:szCs w:val="20"/>
              </w:rPr>
              <w:t>а 2020-2024. година и именована скупштинска радна тијела из истог сазива. Средства за одборнике се исплаћују мјесечно и о томе води рачуна стручна служба, док се исплате скупштинским радним тијелима реализују на основу записника о одржаним сједницама и еви</w:t>
            </w:r>
            <w:r>
              <w:rPr>
                <w:rFonts w:ascii="Times New Roman" w:eastAsia="Times New Roman" w:hAnsi="Times New Roman" w:cs="Times New Roman"/>
                <w:color w:val="000000"/>
                <w:sz w:val="20"/>
                <w:szCs w:val="20"/>
              </w:rPr>
              <w:t xml:space="preserve">денцијама о присуству, а исте се не исплаћују уколико су чланови скупштинских радних тијела одборници или запослени у општинској управи, а што је у складу са важећом одлуком. </w:t>
            </w:r>
          </w:p>
        </w:tc>
      </w:tr>
      <w:tr w:rsidR="0025244F">
        <w:trPr>
          <w:trHeight w:val="288"/>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УВОД </w:t>
            </w:r>
          </w:p>
        </w:tc>
      </w:tr>
      <w:tr w:rsidR="0025244F">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pStyle w:val="ListParagraph"/>
              <w:numPr>
                <w:ilvl w:val="1"/>
                <w:numId w:val="1"/>
              </w:numPr>
              <w:spacing w:after="0" w:line="240" w:lineRule="auto"/>
            </w:pPr>
            <w:r>
              <w:rPr>
                <w:rFonts w:ascii="Times New Roman" w:eastAsia="Times New Roman" w:hAnsi="Times New Roman" w:cs="Times New Roman"/>
                <w:b/>
                <w:bCs/>
                <w:color w:val="000000"/>
                <w:sz w:val="20"/>
                <w:szCs w:val="20"/>
              </w:rPr>
              <w:t>Основ за ревизију:</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color w:val="000000"/>
                <w:sz w:val="20"/>
                <w:szCs w:val="20"/>
              </w:rPr>
            </w:pPr>
          </w:p>
        </w:tc>
      </w:tr>
      <w:tr w:rsidR="0025244F">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Предмет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color w:val="000000"/>
                <w:sz w:val="20"/>
                <w:szCs w:val="20"/>
              </w:rPr>
            </w:pPr>
          </w:p>
        </w:tc>
      </w:tr>
      <w:tr w:rsidR="0025244F">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1.3</w:t>
            </w:r>
            <w:r>
              <w:rPr>
                <w:rFonts w:ascii="Times New Roman" w:eastAsia="Times New Roman" w:hAnsi="Times New Roman" w:cs="Times New Roman"/>
                <w:b/>
                <w:bCs/>
                <w:color w:val="000000"/>
                <w:sz w:val="20"/>
                <w:szCs w:val="20"/>
              </w:rPr>
              <w:t xml:space="preserve">. Циљеви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Осигурати да се средства исплаћују одборницима у складу </w:t>
            </w:r>
            <w:r>
              <w:rPr>
                <w:rFonts w:ascii="Times New Roman" w:eastAsia="Times New Roman" w:hAnsi="Times New Roman" w:cs="Times New Roman"/>
                <w:color w:val="000000"/>
                <w:sz w:val="20"/>
                <w:szCs w:val="20"/>
              </w:rPr>
              <w:lastRenderedPageBreak/>
              <w:t>са важећим одлукама.</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Осигурати да се средства исплаћују именованим скупштинским радним тијелима.</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Осигурати да се средства исплаћују скупштинским радним тијелима на</w:t>
            </w:r>
            <w:r>
              <w:rPr>
                <w:rFonts w:ascii="Times New Roman" w:eastAsia="Times New Roman" w:hAnsi="Times New Roman" w:cs="Times New Roman"/>
                <w:color w:val="000000"/>
                <w:sz w:val="20"/>
                <w:szCs w:val="20"/>
              </w:rPr>
              <w:t xml:space="preserve"> основу записника о одржаним сједницама.</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Осигурати да је највећа буџетска ставка (Конто 412900 - Накнаде одборника и чланова скупштинских комисија) адекватно планирана.</w:t>
            </w:r>
          </w:p>
        </w:tc>
      </w:tr>
      <w:tr w:rsidR="0025244F">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25244F" w:rsidRDefault="00E01887">
            <w:pPr>
              <w:spacing w:after="0" w:line="240" w:lineRule="auto"/>
            </w:pPr>
            <w:r>
              <w:rPr>
                <w:rFonts w:ascii="Times New Roman" w:eastAsia="Times New Roman" w:hAnsi="Times New Roman" w:cs="Times New Roman"/>
                <w:b/>
                <w:bCs/>
                <w:color w:val="000000"/>
                <w:sz w:val="20"/>
                <w:szCs w:val="20"/>
              </w:rPr>
              <w:lastRenderedPageBreak/>
              <w:t xml:space="preserve">1.4. Обим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Одлука о накнадама одборницима и члановима радних ти</w:t>
            </w:r>
            <w:r>
              <w:rPr>
                <w:rFonts w:ascii="Times New Roman" w:eastAsia="Times New Roman" w:hAnsi="Times New Roman" w:cs="Times New Roman"/>
                <w:color w:val="000000"/>
                <w:sz w:val="20"/>
                <w:szCs w:val="20"/>
              </w:rPr>
              <w:t>јела Скупштине општине Прњавор ("Службени гласник општине Прњавор" број 13/14 и 31/16),</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финансијски преглед исплата са буџетске ставке 412900 - Накнаде одборника и чланова скупштинских комисија у 2022. години,</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рјешење о потврђивању мандата одборницима </w:t>
            </w:r>
            <w:r>
              <w:rPr>
                <w:rFonts w:ascii="Times New Roman" w:eastAsia="Times New Roman" w:hAnsi="Times New Roman" w:cs="Times New Roman"/>
                <w:color w:val="000000"/>
                <w:sz w:val="20"/>
                <w:szCs w:val="20"/>
              </w:rPr>
              <w:t>у Скупштини општине Прњавор мандатног сазива 2020-2024. године,</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рјешења о именовању комисија и скупштинских радних тијела,</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записници о одржаним сједницама у 2022. години,</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примјери слања исплата у финансије</w:t>
            </w:r>
          </w:p>
        </w:tc>
      </w:tr>
      <w:tr w:rsidR="0025244F">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1.5. Полазне информације о ревидираном подр</w:t>
            </w:r>
            <w:r>
              <w:rPr>
                <w:rFonts w:ascii="Times New Roman" w:eastAsia="Times New Roman" w:hAnsi="Times New Roman" w:cs="Times New Roman"/>
                <w:b/>
                <w:bCs/>
                <w:color w:val="000000"/>
                <w:sz w:val="20"/>
                <w:szCs w:val="20"/>
              </w:rPr>
              <w:t>учју</w:t>
            </w:r>
            <w:r>
              <w:rPr>
                <w:rFonts w:ascii="Times New Roman" w:eastAsia="Times New Roman" w:hAnsi="Times New Roman" w:cs="Times New Roman"/>
                <w:color w:val="000000"/>
                <w:sz w:val="20"/>
                <w:szCs w:val="20"/>
              </w:rPr>
              <w:t xml:space="preserve">: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color w:val="000000"/>
                <w:sz w:val="20"/>
                <w:szCs w:val="20"/>
              </w:rPr>
              <w:t> На основу Одлуке о накнадама одборника и члановима радних тијела Скупштине општине Прњавор („Службени гласник општине Прњавор“ број 13/14 и 31/16) дефинисана је накнада одборницима и члановима радних тијела Скупштине општине Прњавор. Под скупштинск</w:t>
            </w:r>
            <w:r>
              <w:rPr>
                <w:rFonts w:ascii="Times New Roman" w:eastAsia="Times New Roman" w:hAnsi="Times New Roman" w:cs="Times New Roman"/>
                <w:color w:val="000000"/>
                <w:sz w:val="20"/>
                <w:szCs w:val="20"/>
              </w:rPr>
              <w:t>им радним тијелима подразумјевају се комисије, одбори и савјети именовани од стране Скупштине општине Прњавор, а у току 2022. године дјеловало је 15 различитих скупштинских радних тијела и то: Комисија за избор и именовање, Статутарно-правна комисија, Коми</w:t>
            </w:r>
            <w:r>
              <w:rPr>
                <w:rFonts w:ascii="Times New Roman" w:eastAsia="Times New Roman" w:hAnsi="Times New Roman" w:cs="Times New Roman"/>
                <w:color w:val="000000"/>
                <w:sz w:val="20"/>
                <w:szCs w:val="20"/>
              </w:rPr>
              <w:t>сија за привреду и финансије, Комисија за друштвене дјелатности, Комисија за мјесне заједнице, Комисија за награде и признања, Комисија за вјерска питања, Комисија за питања младих, Одбор за људска права, представке и притужбе, Одбор за регионалну и међуна</w:t>
            </w:r>
            <w:r>
              <w:rPr>
                <w:rFonts w:ascii="Times New Roman" w:eastAsia="Times New Roman" w:hAnsi="Times New Roman" w:cs="Times New Roman"/>
                <w:color w:val="000000"/>
                <w:sz w:val="20"/>
                <w:szCs w:val="20"/>
              </w:rPr>
              <w:t>родну сарадњу, Одбор једнаких могућности, Етички одбор, Одбор за борачко-инвалидску заштиту, Савјет за спорт и Савјет за културу.</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Одборници Скупштине општине Прњавор имају право на одборничку накнаду (одборнички додатак) која се утврђује у </w:t>
            </w:r>
            <w:r>
              <w:rPr>
                <w:rFonts w:ascii="Times New Roman" w:eastAsia="Times New Roman" w:hAnsi="Times New Roman" w:cs="Times New Roman"/>
                <w:color w:val="000000"/>
                <w:sz w:val="20"/>
                <w:szCs w:val="20"/>
              </w:rPr>
              <w:lastRenderedPageBreak/>
              <w:t>мјесечном износу</w:t>
            </w:r>
            <w:r>
              <w:rPr>
                <w:rFonts w:ascii="Times New Roman" w:eastAsia="Times New Roman" w:hAnsi="Times New Roman" w:cs="Times New Roman"/>
                <w:color w:val="000000"/>
                <w:sz w:val="20"/>
                <w:szCs w:val="20"/>
              </w:rPr>
              <w:t>, за вријеме трајања мандата, која им припада за вршење одборничке дужности. Право на накнаду одборник стиче даном верификације мандата па до престанка мандата. На име извршавања одборничких дужности утврђује се мјесечна одборничка накнада у висини од 50 %</w:t>
            </w:r>
            <w:r>
              <w:rPr>
                <w:rFonts w:ascii="Times New Roman" w:eastAsia="Times New Roman" w:hAnsi="Times New Roman" w:cs="Times New Roman"/>
                <w:color w:val="000000"/>
                <w:sz w:val="20"/>
                <w:szCs w:val="20"/>
              </w:rPr>
              <w:t xml:space="preserve"> просјечне нето плате исплаћене у општинској управи у претходној години, не укључујући плате функционера. Просјечну нето плату исплаћену у општинској управи у претходној години, која представља основицу за обрачун мјесечне накнаде одборника у текућој годин</w:t>
            </w:r>
            <w:r>
              <w:rPr>
                <w:rFonts w:ascii="Times New Roman" w:eastAsia="Times New Roman" w:hAnsi="Times New Roman" w:cs="Times New Roman"/>
                <w:color w:val="000000"/>
                <w:sz w:val="20"/>
                <w:szCs w:val="20"/>
              </w:rPr>
              <w:t>и утврђује начелник општине и објављује се у „Службеном гласнику општине Прњавор“.</w:t>
            </w:r>
          </w:p>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Чланови радних тијела Скупштине општине Прњавор имају право на новчану накнаду у висини дневнице, утврђене важећим прописима, за долазак на сваку сједницу радног тијела. Пра</w:t>
            </w:r>
            <w:r>
              <w:rPr>
                <w:rFonts w:ascii="Times New Roman" w:eastAsia="Times New Roman" w:hAnsi="Times New Roman" w:cs="Times New Roman"/>
                <w:color w:val="000000"/>
                <w:sz w:val="20"/>
                <w:szCs w:val="20"/>
              </w:rPr>
              <w:t>во на новчану накнаду немају чланови радних тијела из реда одборника Скупштине општине Прњавор и чланови радних тијела који су у радном односу у општинској управи, јавним установама и предузећима чији је оснивач Скупштина општине Прњавор.</w:t>
            </w:r>
          </w:p>
        </w:tc>
      </w:tr>
      <w:tr w:rsidR="0025244F">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pStyle w:val="CommentText"/>
            </w:pPr>
            <w:r>
              <w:rPr>
                <w:rFonts w:ascii="Times New Roman" w:eastAsia="Times New Roman" w:hAnsi="Times New Roman" w:cs="Times New Roman"/>
                <w:b/>
                <w:bCs/>
                <w:color w:val="000000"/>
              </w:rPr>
              <w:lastRenderedPageBreak/>
              <w:t xml:space="preserve">1.6. Позитивни </w:t>
            </w:r>
            <w:r>
              <w:rPr>
                <w:rFonts w:ascii="Times New Roman" w:eastAsia="Times New Roman" w:hAnsi="Times New Roman" w:cs="Times New Roman"/>
                <w:b/>
                <w:bCs/>
                <w:color w:val="000000"/>
              </w:rPr>
              <w:t>налази</w:t>
            </w:r>
            <w:r>
              <w:rPr>
                <w:rFonts w:ascii="Times New Roman" w:eastAsia="Times New Roman" w:hAnsi="Times New Roman" w:cs="Times New Roman"/>
                <w:color w:val="000000"/>
              </w:rPr>
              <w:t>:</w:t>
            </w:r>
          </w:p>
          <w:p w:rsidR="0025244F" w:rsidRDefault="0025244F">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color w:val="000000"/>
                <w:sz w:val="20"/>
                <w:szCs w:val="20"/>
              </w:rPr>
              <w:t xml:space="preserve"> Увидом у рекапитулацију накнада одборника за 2022. годину уочено је да је у бруто износу исплаћено укупно 226.081,00 КМ. На име чистог дохотка одборницима је исплаћивано 435,88 КМ мјесечно, а што је 50 % од просјечне нето плате у Општинској </w:t>
            </w:r>
            <w:r>
              <w:rPr>
                <w:rFonts w:ascii="Times New Roman" w:eastAsia="Times New Roman" w:hAnsi="Times New Roman" w:cs="Times New Roman"/>
                <w:color w:val="000000"/>
                <w:sz w:val="20"/>
                <w:szCs w:val="20"/>
              </w:rPr>
              <w:t>управи општине Прњавор у 2021. години која је износила 871,75 КМ. Већина одборника је имала исплату свих 12 мјесеци изузев у пар случајева одборника гдје је долазило до ротације са мјеста одборника на мјесто предсједника и потпредсједника Скупштине општине</w:t>
            </w:r>
            <w:r>
              <w:rPr>
                <w:rFonts w:ascii="Times New Roman" w:eastAsia="Times New Roman" w:hAnsi="Times New Roman" w:cs="Times New Roman"/>
                <w:color w:val="000000"/>
                <w:sz w:val="20"/>
                <w:szCs w:val="20"/>
              </w:rPr>
              <w:t xml:space="preserve"> Прњавор гдје су важила другачија правила за исплату накнаде. Рекапитулациј</w:t>
            </w:r>
            <w:r w:rsidR="00880B32">
              <w:rPr>
                <w:rFonts w:ascii="Times New Roman" w:eastAsia="Times New Roman" w:hAnsi="Times New Roman" w:cs="Times New Roman"/>
                <w:color w:val="000000"/>
                <w:sz w:val="20"/>
                <w:szCs w:val="20"/>
              </w:rPr>
              <w:t>ом исплата</w:t>
            </w:r>
            <w:r w:rsidR="00880B32" w:rsidRPr="00880B32">
              <w:rPr>
                <w:rFonts w:ascii="Times New Roman" w:eastAsia="Times New Roman" w:hAnsi="Times New Roman" w:cs="Times New Roman"/>
                <w:color w:val="000000"/>
                <w:sz w:val="20"/>
                <w:szCs w:val="20"/>
              </w:rPr>
              <w:t xml:space="preserve"> накнада скупштинским радним тијелима</w:t>
            </w:r>
            <w:r>
              <w:rPr>
                <w:rFonts w:ascii="Times New Roman" w:eastAsia="Times New Roman" w:hAnsi="Times New Roman" w:cs="Times New Roman"/>
                <w:color w:val="000000"/>
                <w:sz w:val="20"/>
                <w:szCs w:val="20"/>
              </w:rPr>
              <w:t xml:space="preserve"> у 2022. години утврђено је да је у бруто износу исплаћено 1.332,78 КМ (заједно са порезима и доприносима) од чега је чистог дохотка било 800,00 КМ к</w:t>
            </w:r>
            <w:r>
              <w:rPr>
                <w:rFonts w:ascii="Times New Roman" w:eastAsia="Times New Roman" w:hAnsi="Times New Roman" w:cs="Times New Roman"/>
                <w:color w:val="000000"/>
                <w:sz w:val="20"/>
                <w:szCs w:val="20"/>
              </w:rPr>
              <w:t>оји је исплаћен за 16 особа на основу записника и одржаних сједница. Разлог због чега је исплаћено за само 16 особа на 15 различитих комисија се налази у томе што у скупштинска радна тијела углавном улазе одборници Скупштине општине Прњавор који, према чла</w:t>
            </w:r>
            <w:r>
              <w:rPr>
                <w:rFonts w:ascii="Times New Roman" w:eastAsia="Times New Roman" w:hAnsi="Times New Roman" w:cs="Times New Roman"/>
                <w:color w:val="000000"/>
                <w:sz w:val="20"/>
                <w:szCs w:val="20"/>
              </w:rPr>
              <w:t xml:space="preserve">ну 8. став (2) Одлуке о накнадама, немају право на новчану </w:t>
            </w:r>
            <w:r>
              <w:rPr>
                <w:rFonts w:ascii="Times New Roman" w:eastAsia="Times New Roman" w:hAnsi="Times New Roman" w:cs="Times New Roman"/>
                <w:color w:val="000000"/>
                <w:sz w:val="20"/>
                <w:szCs w:val="20"/>
              </w:rPr>
              <w:lastRenderedPageBreak/>
              <w:t>накнаду.Након сваке одржане сједнице скупштинског радног тијела сачињава се записник у коме се детаљно образложе разлози одржавања сједнице, као и који чланови су присуствовали сједници, те на осно</w:t>
            </w:r>
            <w:r>
              <w:rPr>
                <w:rFonts w:ascii="Times New Roman" w:eastAsia="Times New Roman" w:hAnsi="Times New Roman" w:cs="Times New Roman"/>
                <w:color w:val="000000"/>
                <w:sz w:val="20"/>
                <w:szCs w:val="20"/>
              </w:rPr>
              <w:t>ву тога се формирају спискови за исплату накнада скупштинских радних тијела. Упоредним прегледом укупно исплаћених</w:t>
            </w:r>
            <w:r w:rsidR="004D1C8D">
              <w:rPr>
                <w:rFonts w:ascii="Times New Roman" w:eastAsia="Times New Roman" w:hAnsi="Times New Roman" w:cs="Times New Roman"/>
                <w:color w:val="000000"/>
                <w:sz w:val="20"/>
                <w:szCs w:val="20"/>
              </w:rPr>
              <w:t xml:space="preserve"> средстава накнада скупштински</w:t>
            </w:r>
            <w:r w:rsidR="004D1C8D">
              <w:rPr>
                <w:rFonts w:ascii="Times New Roman" w:eastAsia="Times New Roman" w:hAnsi="Times New Roman" w:cs="Times New Roman"/>
                <w:color w:val="000000"/>
                <w:sz w:val="20"/>
                <w:szCs w:val="20"/>
                <w:lang w:val="sr-Cyrl-BA"/>
              </w:rPr>
              <w:t>х</w:t>
            </w:r>
            <w:r w:rsidR="004D1C8D">
              <w:rPr>
                <w:rFonts w:ascii="Times New Roman" w:eastAsia="Times New Roman" w:hAnsi="Times New Roman" w:cs="Times New Roman"/>
                <w:color w:val="000000"/>
                <w:sz w:val="20"/>
                <w:szCs w:val="20"/>
              </w:rPr>
              <w:t xml:space="preserve"> радни</w:t>
            </w:r>
            <w:r w:rsidR="004D1C8D">
              <w:rPr>
                <w:rFonts w:ascii="Times New Roman" w:eastAsia="Times New Roman" w:hAnsi="Times New Roman" w:cs="Times New Roman"/>
                <w:color w:val="000000"/>
                <w:sz w:val="20"/>
                <w:szCs w:val="20"/>
                <w:lang w:val="sr-Cyrl-BA"/>
              </w:rPr>
              <w:t>х</w:t>
            </w:r>
            <w:r w:rsidR="004D1C8D">
              <w:rPr>
                <w:rFonts w:ascii="Times New Roman" w:eastAsia="Times New Roman" w:hAnsi="Times New Roman" w:cs="Times New Roman"/>
                <w:color w:val="000000"/>
                <w:sz w:val="20"/>
                <w:szCs w:val="20"/>
              </w:rPr>
              <w:t xml:space="preserve"> тијел</w:t>
            </w:r>
            <w:r w:rsidR="004D1C8D" w:rsidRPr="004D1C8D">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 xml:space="preserve"> и записника одржаних сједница, закључено је да су средства исплаћена у складу са присуствима на сједницама.</w:t>
            </w:r>
          </w:p>
        </w:tc>
      </w:tr>
      <w:tr w:rsidR="0025244F">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lastRenderedPageBreak/>
              <w:t xml:space="preserve">1.7. Одговорности: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color w:val="000000"/>
                <w:sz w:val="20"/>
                <w:szCs w:val="20"/>
              </w:rPr>
            </w:pPr>
          </w:p>
        </w:tc>
      </w:tr>
      <w:tr w:rsidR="0025244F">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 xml:space="preserve">1.8. Ограничења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color w:val="000000"/>
                <w:sz w:val="20"/>
                <w:szCs w:val="20"/>
              </w:rPr>
            </w:pPr>
          </w:p>
        </w:tc>
      </w:tr>
      <w:tr w:rsidR="0025244F">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pStyle w:val="CommentText"/>
              <w:rPr>
                <w:rFonts w:ascii="Times New Roman" w:eastAsia="Times New Roman" w:hAnsi="Times New Roman" w:cs="Times New Roman"/>
                <w:b/>
                <w:bCs/>
                <w:color w:val="00000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color w:val="000000"/>
                <w:sz w:val="20"/>
                <w:szCs w:val="20"/>
              </w:rPr>
            </w:pPr>
          </w:p>
        </w:tc>
      </w:tr>
      <w:tr w:rsidR="0025244F">
        <w:trPr>
          <w:trHeight w:val="300"/>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25244F" w:rsidRDefault="00E01887">
            <w:pPr>
              <w:spacing w:after="0" w:line="240" w:lineRule="auto"/>
            </w:pPr>
            <w:r>
              <w:rPr>
                <w:rFonts w:ascii="Times New Roman" w:eastAsia="Times New Roman" w:hAnsi="Times New Roman" w:cs="Times New Roman"/>
                <w:color w:val="000000"/>
                <w:sz w:val="20"/>
                <w:szCs w:val="20"/>
              </w:rPr>
              <w:t>2. НАЛАЗИ, ЗАКЉУЧЦИ И ПРЕПОРУКЕ</w:t>
            </w:r>
          </w:p>
        </w:tc>
      </w:tr>
      <w:tr w:rsidR="0025244F">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 xml:space="preserve">Претходни ревизијски преглед </w:t>
            </w:r>
            <w:r>
              <w:rPr>
                <w:rFonts w:ascii="Times New Roman" w:eastAsia="Times New Roman" w:hAnsi="Times New Roman" w:cs="Times New Roman"/>
                <w:color w:val="000000"/>
                <w:sz w:val="20"/>
                <w:szCs w:val="20"/>
              </w:rPr>
              <w:t>(спровођење препорука из претходне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jc w:val="both"/>
              <w:rPr>
                <w:rFonts w:ascii="Times New Roman" w:eastAsia="Times New Roman" w:hAnsi="Times New Roman" w:cs="Times New Roman"/>
                <w:color w:val="000000"/>
                <w:sz w:val="24"/>
                <w:szCs w:val="24"/>
              </w:rPr>
            </w:pPr>
          </w:p>
        </w:tc>
      </w:tr>
      <w:tr w:rsidR="0025244F">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се средства исплаћују одборницима у складу са важећим одлукама.</w:t>
            </w:r>
          </w:p>
        </w:tc>
      </w:tr>
      <w:tr w:rsidR="0025244F">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 На основу Рјешења о потврђивању мандата одборницима у Скупштини општине Прњавор </w:t>
            </w:r>
            <w:r>
              <w:rPr>
                <w:rFonts w:ascii="Times New Roman" w:eastAsia="Times New Roman" w:hAnsi="Times New Roman" w:cs="Times New Roman"/>
                <w:color w:val="000000"/>
                <w:sz w:val="20"/>
                <w:szCs w:val="20"/>
              </w:rPr>
              <w:t xml:space="preserve">мандатног сазива 2020-2024. године ("Службени гласник општине Прњавор" број 57/20) наведени су сви одборници којима је припадала одборничка накнада у 2022. години изузев за Драгану Њежић која је вратила мандат, а на њено мјесто је дошао Милан Радуловић. У </w:t>
            </w:r>
            <w:r>
              <w:rPr>
                <w:rFonts w:ascii="Times New Roman" w:eastAsia="Times New Roman" w:hAnsi="Times New Roman" w:cs="Times New Roman"/>
                <w:color w:val="000000"/>
                <w:sz w:val="20"/>
                <w:szCs w:val="20"/>
              </w:rPr>
              <w:t xml:space="preserve">новембру 2022. године Милан Петровић је такође вратио мандат одборника и накнаде су исплаћиване до датума напуштања, а за посљедњи мјесец 2022. године накнада је исплаћена новом одборнику Суботић Дејану </w:t>
            </w:r>
            <w:r w:rsidR="006D0662">
              <w:rPr>
                <w:rFonts w:ascii="Times New Roman" w:eastAsia="Times New Roman" w:hAnsi="Times New Roman" w:cs="Times New Roman"/>
                <w:color w:val="000000"/>
                <w:sz w:val="20"/>
                <w:szCs w:val="20"/>
              </w:rPr>
              <w:t>који је дошао на његово мјесто.</w:t>
            </w:r>
            <w:r>
              <w:rPr>
                <w:rFonts w:ascii="Times New Roman" w:eastAsia="Times New Roman" w:hAnsi="Times New Roman" w:cs="Times New Roman"/>
                <w:color w:val="000000"/>
                <w:sz w:val="20"/>
                <w:szCs w:val="20"/>
              </w:rPr>
              <w:t xml:space="preserve"> Увидом у рекапитулац</w:t>
            </w:r>
            <w:r>
              <w:rPr>
                <w:rFonts w:ascii="Times New Roman" w:eastAsia="Times New Roman" w:hAnsi="Times New Roman" w:cs="Times New Roman"/>
                <w:color w:val="000000"/>
                <w:sz w:val="20"/>
                <w:szCs w:val="20"/>
              </w:rPr>
              <w:t>ију накнада одборника за 2022. годину уочено је да је у бруто износу исплаћено укупно 226.081,00 КМ. На име чистог дохотка одборницима је исплаћивано 435,88 КМ мјесечно, а што је 50 % од просјечне нето плате у Општинској управи општине Прњавор у 2021. годи</w:t>
            </w:r>
            <w:r>
              <w:rPr>
                <w:rFonts w:ascii="Times New Roman" w:eastAsia="Times New Roman" w:hAnsi="Times New Roman" w:cs="Times New Roman"/>
                <w:color w:val="000000"/>
                <w:sz w:val="20"/>
                <w:szCs w:val="20"/>
              </w:rPr>
              <w:t xml:space="preserve">ни која је износила 871,75 КМ. Поред чистог дохотка, Одјељење за финансије је на име одборничке накнаде исплаћивало и порезе и доприносе. Већина одборника је имала исплату свих 12 мјесеци изузев у пар случајева одборника гдје </w:t>
            </w:r>
            <w:r>
              <w:rPr>
                <w:rFonts w:ascii="Times New Roman" w:eastAsia="Times New Roman" w:hAnsi="Times New Roman" w:cs="Times New Roman"/>
                <w:color w:val="000000"/>
                <w:sz w:val="20"/>
                <w:szCs w:val="20"/>
              </w:rPr>
              <w:lastRenderedPageBreak/>
              <w:t>је долазило до ротације са мје</w:t>
            </w:r>
            <w:r>
              <w:rPr>
                <w:rFonts w:ascii="Times New Roman" w:eastAsia="Times New Roman" w:hAnsi="Times New Roman" w:cs="Times New Roman"/>
                <w:color w:val="000000"/>
                <w:sz w:val="20"/>
                <w:szCs w:val="20"/>
              </w:rPr>
              <w:t>ста одборника на мјесто предсједника и потпредсједника Скупштине општине Прњавор гдје су важила другачија правила за исплату накнаде јер на основу члана 6. Одлуке о накнадама одборницима, предсједник и потпредсједник скупштине, који своју функцију обављају</w:t>
            </w:r>
            <w:r>
              <w:rPr>
                <w:rFonts w:ascii="Times New Roman" w:eastAsia="Times New Roman" w:hAnsi="Times New Roman" w:cs="Times New Roman"/>
                <w:color w:val="000000"/>
                <w:sz w:val="20"/>
                <w:szCs w:val="20"/>
              </w:rPr>
              <w:t xml:space="preserve"> са статусом запосленог лица, немају право на одборничку накнаду за вријеме обављања функције и након престанка функције за вријеме док остварују право на накнаду плате. Такође, одборник Милан Петровић је имао 10 пуних исплата током 2022. године и 11. умањ</w:t>
            </w:r>
            <w:r>
              <w:rPr>
                <w:rFonts w:ascii="Times New Roman" w:eastAsia="Times New Roman" w:hAnsi="Times New Roman" w:cs="Times New Roman"/>
                <w:color w:val="000000"/>
                <w:sz w:val="20"/>
                <w:szCs w:val="20"/>
              </w:rPr>
              <w:t xml:space="preserve">ену исплату јер је иста обрачуната са даном напуштања (у току новембра 2022. године), те је једна накнада исплаћена за новог одборника за задњи мјесец 2022. године који је дошао на његово мјесто.   </w:t>
            </w:r>
          </w:p>
        </w:tc>
      </w:tr>
      <w:tr w:rsidR="0025244F">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6D0662">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6D0662">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tc>
      </w:tr>
      <w:tr w:rsidR="0025244F">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се средства исплаћују именованим скупштинским радним тијелима.</w:t>
            </w:r>
          </w:p>
        </w:tc>
      </w:tr>
      <w:tr w:rsidR="0025244F">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 xml:space="preserve">(постојеће стање, очекивано стање, одступања постојећег од очекиваног стања, узроци одступања постојећег од очекиваног стања, учинци утврђених </w:t>
            </w:r>
            <w:r>
              <w:rPr>
                <w:rFonts w:ascii="Times New Roman" w:eastAsia="Times New Roman" w:hAnsi="Times New Roman" w:cs="Times New Roman"/>
                <w:color w:val="000000"/>
                <w:sz w:val="20"/>
                <w:szCs w:val="20"/>
              </w:rPr>
              <w:t>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Под скупштинским радним тијелима подразумјевају се комисије, одбори и савјети именовани од стране Скупштине општине Прњавор, а у току 2022. године дјеловало је 15 различитих скупштинских радних тијела и то: Комисија за избор и именовање, Ста</w:t>
            </w:r>
            <w:r>
              <w:rPr>
                <w:rFonts w:ascii="Times New Roman" w:eastAsia="Times New Roman" w:hAnsi="Times New Roman" w:cs="Times New Roman"/>
                <w:color w:val="000000"/>
                <w:sz w:val="20"/>
                <w:szCs w:val="20"/>
              </w:rPr>
              <w:t>тутарно-правна комисија, Комисија за привреду и финансије, Комисија за друштвене дјелатности, Комисија за мјесне заједнице, Комисија за награде и признања, Комисија за вјерска питања, Комисија за питања младих, Одбор за људска права, представке и притужбе,</w:t>
            </w:r>
            <w:r>
              <w:rPr>
                <w:rFonts w:ascii="Times New Roman" w:eastAsia="Times New Roman" w:hAnsi="Times New Roman" w:cs="Times New Roman"/>
                <w:color w:val="000000"/>
                <w:sz w:val="20"/>
                <w:szCs w:val="20"/>
              </w:rPr>
              <w:t xml:space="preserve"> Одбор за регионалну и међународну сарадњу, Одбор једнаких могућности, Етички одбор, Одбор за борачко-инвалидску заштиту, Савјет за спорт и Савјет за културу. Рекапитулацијом исплата накнада скупштинским радним тијелима у 2022. години утврђено је да је у б</w:t>
            </w:r>
            <w:r>
              <w:rPr>
                <w:rFonts w:ascii="Times New Roman" w:eastAsia="Times New Roman" w:hAnsi="Times New Roman" w:cs="Times New Roman"/>
                <w:color w:val="000000"/>
                <w:sz w:val="20"/>
                <w:szCs w:val="20"/>
              </w:rPr>
              <w:t>руто износу исплаћено 1.332,78 КМ (заједно са порезима и доприносима) од чега је чистог дохотка било 800,00 КМ који је исплаћен за 16 особа на основу записника и одржаних сједница. Разлог због чега је исплаћено за само 16 особа на 15 различитих комисија се</w:t>
            </w:r>
            <w:r>
              <w:rPr>
                <w:rFonts w:ascii="Times New Roman" w:eastAsia="Times New Roman" w:hAnsi="Times New Roman" w:cs="Times New Roman"/>
                <w:color w:val="000000"/>
                <w:sz w:val="20"/>
                <w:szCs w:val="20"/>
              </w:rPr>
              <w:t xml:space="preserve"> налази у томе што у скупштинска радна тијела углавном улазе одборници Скупштине општине Прњавор који, према члану 8. </w:t>
            </w:r>
            <w:r>
              <w:rPr>
                <w:rFonts w:ascii="Times New Roman" w:eastAsia="Times New Roman" w:hAnsi="Times New Roman" w:cs="Times New Roman"/>
                <w:color w:val="000000"/>
                <w:sz w:val="20"/>
                <w:szCs w:val="20"/>
              </w:rPr>
              <w:lastRenderedPageBreak/>
              <w:t>став (2) Одлуке о накнадама, немају право на новчану накнаду, као ни чланови радних тијела који су у радном односу у општинској управи, ја</w:t>
            </w:r>
            <w:r>
              <w:rPr>
                <w:rFonts w:ascii="Times New Roman" w:eastAsia="Times New Roman" w:hAnsi="Times New Roman" w:cs="Times New Roman"/>
                <w:color w:val="000000"/>
                <w:sz w:val="20"/>
                <w:szCs w:val="20"/>
              </w:rPr>
              <w:t>вним установама и предузећима чији је осн</w:t>
            </w:r>
            <w:r w:rsidR="005A2B33">
              <w:rPr>
                <w:rFonts w:ascii="Times New Roman" w:eastAsia="Times New Roman" w:hAnsi="Times New Roman" w:cs="Times New Roman"/>
                <w:color w:val="000000"/>
                <w:sz w:val="20"/>
                <w:szCs w:val="20"/>
              </w:rPr>
              <w:t>ивач Скупштина општине Прњавор.</w:t>
            </w:r>
            <w:r>
              <w:rPr>
                <w:rFonts w:ascii="Times New Roman" w:eastAsia="Times New Roman" w:hAnsi="Times New Roman" w:cs="Times New Roman"/>
                <w:color w:val="000000"/>
                <w:sz w:val="20"/>
                <w:szCs w:val="20"/>
              </w:rPr>
              <w:t xml:space="preserve"> Анализом исплата за 16 особа на име накнада скупштинских радних тијела у 2022. години дошло се до закључка да је свакој особи исплаћена накнада јер је била члан неког скупштинског ра</w:t>
            </w:r>
            <w:r>
              <w:rPr>
                <w:rFonts w:ascii="Times New Roman" w:eastAsia="Times New Roman" w:hAnsi="Times New Roman" w:cs="Times New Roman"/>
                <w:color w:val="000000"/>
                <w:sz w:val="20"/>
                <w:szCs w:val="20"/>
              </w:rPr>
              <w:t>дног тијела, а да при том није била ослобођена од добијања накнаде. Именована радна тијела тренутног скупштинског сазива су објављена у "Службеном гласнику општине Прњавор" број 5/21 и сви чланови који су добили накнаду у 2022. години су се налазили у наве</w:t>
            </w:r>
            <w:r>
              <w:rPr>
                <w:rFonts w:ascii="Times New Roman" w:eastAsia="Times New Roman" w:hAnsi="Times New Roman" w:cs="Times New Roman"/>
                <w:color w:val="000000"/>
                <w:sz w:val="20"/>
                <w:szCs w:val="20"/>
              </w:rPr>
              <w:t>деном Службеном гласнику изузев за двије особе које су накнадним измјенама именоване као чланови скупштинских радних тијела, а ради се о Дајани Башић из Комисије за питања младих и Јовани Његован из Одбора једнаких могућности. На званичној општинској интер</w:t>
            </w:r>
            <w:r>
              <w:rPr>
                <w:rFonts w:ascii="Times New Roman" w:eastAsia="Times New Roman" w:hAnsi="Times New Roman" w:cs="Times New Roman"/>
                <w:color w:val="000000"/>
                <w:sz w:val="20"/>
                <w:szCs w:val="20"/>
              </w:rPr>
              <w:t xml:space="preserve">нет страници у дијелу Скупштина могу се наћи сви тренутно именовани чланови скупштинских радних тијела.  </w:t>
            </w:r>
          </w:p>
        </w:tc>
      </w:tr>
      <w:tr w:rsidR="0025244F">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344B69">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344B69">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tc>
      </w:tr>
      <w:tr w:rsidR="0025244F">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 xml:space="preserve">Осигурати да се средства исплаћују скупштинским радним тијелима на основу </w:t>
            </w:r>
            <w:r>
              <w:rPr>
                <w:rFonts w:ascii="Times New Roman" w:eastAsia="Times New Roman" w:hAnsi="Times New Roman" w:cs="Times New Roman"/>
                <w:color w:val="000000"/>
                <w:sz w:val="20"/>
                <w:szCs w:val="20"/>
              </w:rPr>
              <w:t>записника о одржаним сједницама.</w:t>
            </w:r>
          </w:p>
        </w:tc>
      </w:tr>
      <w:tr w:rsidR="0025244F">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 Након сваке одржане сједнице скупштинског </w:t>
            </w:r>
            <w:r>
              <w:rPr>
                <w:rFonts w:ascii="Times New Roman" w:eastAsia="Times New Roman" w:hAnsi="Times New Roman" w:cs="Times New Roman"/>
                <w:color w:val="000000"/>
                <w:sz w:val="20"/>
                <w:szCs w:val="20"/>
              </w:rPr>
              <w:t>радног тијела сачињава се записник у коме се детаљно образложе разлози одржавања сједнице, као и који чланови су присуствовали сједници, те на основу тога се формирају спискови за исплату накн</w:t>
            </w:r>
            <w:r w:rsidR="00E644D1">
              <w:rPr>
                <w:rFonts w:ascii="Times New Roman" w:eastAsia="Times New Roman" w:hAnsi="Times New Roman" w:cs="Times New Roman"/>
                <w:color w:val="000000"/>
                <w:sz w:val="20"/>
                <w:szCs w:val="20"/>
              </w:rPr>
              <w:t>ада скупштинских радних тијела.</w:t>
            </w:r>
            <w:r>
              <w:rPr>
                <w:rFonts w:ascii="Times New Roman" w:eastAsia="Times New Roman" w:hAnsi="Times New Roman" w:cs="Times New Roman"/>
                <w:color w:val="000000"/>
                <w:sz w:val="20"/>
                <w:szCs w:val="20"/>
              </w:rPr>
              <w:t xml:space="preserve"> У току 2022. године било је 5 д</w:t>
            </w:r>
            <w:r>
              <w:rPr>
                <w:rFonts w:ascii="Times New Roman" w:eastAsia="Times New Roman" w:hAnsi="Times New Roman" w:cs="Times New Roman"/>
                <w:color w:val="000000"/>
                <w:sz w:val="20"/>
                <w:szCs w:val="20"/>
              </w:rPr>
              <w:t xml:space="preserve">описа о исплати према Одјељењу за финансије везано за накнаде скупштинским радним тијелима. Накнаде су исплаћиване искључиво члановима који су испуњавали услове да је добију, а у сваком допису је наведено коме се исплаћује накнада, на основу које сједнице </w:t>
            </w:r>
            <w:r w:rsidR="00E644D1">
              <w:rPr>
                <w:rFonts w:ascii="Times New Roman" w:eastAsia="Times New Roman" w:hAnsi="Times New Roman" w:cs="Times New Roman"/>
                <w:color w:val="000000"/>
                <w:sz w:val="20"/>
                <w:szCs w:val="20"/>
              </w:rPr>
              <w:t>и које комисије.</w:t>
            </w:r>
            <w:r>
              <w:rPr>
                <w:rFonts w:ascii="Times New Roman" w:eastAsia="Times New Roman" w:hAnsi="Times New Roman" w:cs="Times New Roman"/>
                <w:color w:val="000000"/>
                <w:sz w:val="20"/>
                <w:szCs w:val="20"/>
              </w:rPr>
              <w:t xml:space="preserve"> Упоредним прегледом укупно исплаћених средстава накнада скупштинских радних тијела и записника одржаних сједница, закључено је да су средства исплаћена у складу са присуствима на сједницама.</w:t>
            </w:r>
          </w:p>
        </w:tc>
      </w:tr>
      <w:tr w:rsidR="0025244F">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F93B3E">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F93B3E">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 xml:space="preserve">ивна активност коју треба </w:t>
            </w:r>
            <w:r>
              <w:rPr>
                <w:rFonts w:ascii="Times New Roman" w:eastAsia="Times New Roman" w:hAnsi="Times New Roman" w:cs="Times New Roman"/>
                <w:color w:val="000000"/>
                <w:sz w:val="20"/>
                <w:szCs w:val="20"/>
              </w:rPr>
              <w:t>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tc>
      </w:tr>
      <w:tr w:rsidR="0025244F">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је највећа буџетска ставка (Конто 412900 - Накнаде одборника и чланова скупштинских комисија) адекватно планирана.</w:t>
            </w:r>
          </w:p>
        </w:tc>
      </w:tr>
      <w:tr w:rsidR="0025244F">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 xml:space="preserve">(постојеће стање, очекивано стање, одступања постојећег од очекиваног стања, </w:t>
            </w:r>
            <w:r>
              <w:rPr>
                <w:rFonts w:ascii="Times New Roman" w:eastAsia="Times New Roman" w:hAnsi="Times New Roman" w:cs="Times New Roman"/>
                <w:color w:val="000000"/>
                <w:sz w:val="20"/>
                <w:szCs w:val="20"/>
              </w:rPr>
              <w:t>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 Средства планирана у буџету општине Прњавор за 2022. годину ("Службени гласник општине Прњавор" број 2/22) на ставци 412900 - Накнаде одборника и чланова скупштинских комисија</w:t>
            </w:r>
            <w:r>
              <w:rPr>
                <w:rFonts w:ascii="Times New Roman" w:eastAsia="Times New Roman" w:hAnsi="Times New Roman" w:cs="Times New Roman"/>
                <w:color w:val="000000"/>
                <w:sz w:val="20"/>
                <w:szCs w:val="20"/>
              </w:rPr>
              <w:t xml:space="preserve"> износe 244.000,00 КМ и иста су остала непромјењена и приликом ребаланса буџета што је показатељ да су средства адекватно планирана. Приликом планирања средстaва стални износ средстава су накнаде одборника које су у фиксном износу и исплаћују се сваког мје</w:t>
            </w:r>
            <w:r>
              <w:rPr>
                <w:rFonts w:ascii="Times New Roman" w:eastAsia="Times New Roman" w:hAnsi="Times New Roman" w:cs="Times New Roman"/>
                <w:color w:val="000000"/>
                <w:sz w:val="20"/>
                <w:szCs w:val="20"/>
              </w:rPr>
              <w:t>сеца. Варијабилни дио планирања су скупштинска радна тијела јер се не зна унапријед колико тачно сједница ће се одржати у току године на основу којих ће се исплаћивати накнада члановима. У буџету општине Прњавор за 2023. годину ("Службени гласник општине П</w:t>
            </w:r>
            <w:r>
              <w:rPr>
                <w:rFonts w:ascii="Times New Roman" w:eastAsia="Times New Roman" w:hAnsi="Times New Roman" w:cs="Times New Roman"/>
                <w:color w:val="000000"/>
                <w:sz w:val="20"/>
                <w:szCs w:val="20"/>
              </w:rPr>
              <w:t>рњавор" број 33/22) на наведеној ставци средства су повећана за 26.000,00 КМ у односу на претходну годину односно износе 270.000,00 КМ. Разлог за повећање износа средстава на овој ставци је повећање просјечне нето плате општинске управе у односу на претход</w:t>
            </w:r>
            <w:r>
              <w:rPr>
                <w:rFonts w:ascii="Times New Roman" w:eastAsia="Times New Roman" w:hAnsi="Times New Roman" w:cs="Times New Roman"/>
                <w:color w:val="000000"/>
                <w:sz w:val="20"/>
                <w:szCs w:val="20"/>
              </w:rPr>
              <w:t>ну годину (у 2021. години је износила 871,75 КМ, док је у 2022. години износила 981,40 КМ) а иста служи као основ за исплату одборницима (50 % просјечне нето плате), као и због очекиваног повећаног броја одржавања сједница скупштинских радних тијела у току</w:t>
            </w:r>
            <w:r>
              <w:rPr>
                <w:rFonts w:ascii="Times New Roman" w:eastAsia="Times New Roman" w:hAnsi="Times New Roman" w:cs="Times New Roman"/>
                <w:color w:val="000000"/>
                <w:sz w:val="20"/>
                <w:szCs w:val="20"/>
              </w:rPr>
              <w:t xml:space="preserve"> 2023. године, а на захтјев координатора МЕГ пројекта који очекују активније учешће скупштинских радних тијела и чешће одржавање сједница.</w:t>
            </w:r>
          </w:p>
        </w:tc>
      </w:tr>
      <w:tr w:rsidR="0025244F">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 xml:space="preserve">Препоруке </w:t>
            </w:r>
            <w:r w:rsidR="00E76C20">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E76C20">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tc>
      </w:tr>
      <w:tr w:rsidR="0025244F">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pPr>
            <w:r>
              <w:rPr>
                <w:rFonts w:ascii="Times New Roman" w:eastAsia="Times New Roman" w:hAnsi="Times New Roman" w:cs="Times New Roman"/>
                <w:b/>
                <w:bCs/>
                <w:color w:val="000000"/>
                <w:sz w:val="20"/>
                <w:szCs w:val="20"/>
              </w:rPr>
              <w:t>Прихваћене: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tc>
      </w:tr>
      <w:tr w:rsidR="0025244F">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E01887">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Коментар руководства: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tc>
      </w:tr>
      <w:tr w:rsidR="0025244F">
        <w:trPr>
          <w:trHeight w:val="324"/>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25244F" w:rsidRDefault="00E0188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ПРИЛОЗИ </w:t>
            </w:r>
          </w:p>
        </w:tc>
      </w:tr>
      <w:tr w:rsidR="0025244F">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color w:val="000000"/>
                <w:sz w:val="24"/>
                <w:szCs w:val="24"/>
              </w:rPr>
            </w:pPr>
          </w:p>
        </w:tc>
      </w:tr>
      <w:tr w:rsidR="0025244F">
        <w:trPr>
          <w:trHeight w:val="336"/>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25244F" w:rsidRDefault="0025244F">
            <w:pPr>
              <w:spacing w:after="0" w:line="240" w:lineRule="auto"/>
              <w:rPr>
                <w:rFonts w:ascii="Times New Roman" w:eastAsia="Times New Roman" w:hAnsi="Times New Roman" w:cs="Times New Roman"/>
                <w:color w:val="000000"/>
                <w:sz w:val="24"/>
                <w:szCs w:val="24"/>
              </w:rPr>
            </w:pPr>
          </w:p>
        </w:tc>
      </w:tr>
    </w:tbl>
    <w:p w:rsidR="0025244F" w:rsidRDefault="0025244F"/>
    <w:p w:rsidR="0025244F" w:rsidRDefault="0025244F"/>
    <w:tbl>
      <w:tblPr>
        <w:tblW w:w="13068" w:type="dxa"/>
        <w:tblLook w:val="0000"/>
      </w:tblPr>
      <w:tblGrid>
        <w:gridCol w:w="2157"/>
        <w:gridCol w:w="2158"/>
        <w:gridCol w:w="2158"/>
        <w:gridCol w:w="119"/>
        <w:gridCol w:w="2039"/>
        <w:gridCol w:w="2157"/>
        <w:gridCol w:w="2280"/>
      </w:tblGrid>
      <w:tr w:rsidR="0025244F">
        <w:tc>
          <w:tcPr>
            <w:tcW w:w="2157" w:type="dxa"/>
            <w:shd w:val="clear" w:color="auto" w:fill="auto"/>
          </w:tcPr>
          <w:p w:rsidR="0025244F" w:rsidRDefault="0025244F">
            <w:pPr>
              <w:spacing w:after="0" w:line="240" w:lineRule="auto"/>
              <w:jc w:val="center"/>
            </w:pPr>
          </w:p>
        </w:tc>
        <w:tc>
          <w:tcPr>
            <w:tcW w:w="2158" w:type="dxa"/>
            <w:tcBorders>
              <w:bottom w:val="single" w:sz="4" w:space="0" w:color="00000A"/>
            </w:tcBorders>
            <w:shd w:val="clear" w:color="auto" w:fill="auto"/>
          </w:tcPr>
          <w:p w:rsidR="0025244F" w:rsidRDefault="0025244F">
            <w:pPr>
              <w:spacing w:after="0" w:line="240" w:lineRule="auto"/>
              <w:jc w:val="center"/>
            </w:pPr>
          </w:p>
        </w:tc>
        <w:tc>
          <w:tcPr>
            <w:tcW w:w="2158" w:type="dxa"/>
            <w:shd w:val="clear" w:color="auto" w:fill="auto"/>
          </w:tcPr>
          <w:p w:rsidR="0025244F" w:rsidRDefault="0025244F">
            <w:pPr>
              <w:spacing w:after="0" w:line="240" w:lineRule="auto"/>
              <w:jc w:val="center"/>
            </w:pPr>
          </w:p>
        </w:tc>
        <w:tc>
          <w:tcPr>
            <w:tcW w:w="2158" w:type="dxa"/>
            <w:gridSpan w:val="2"/>
            <w:shd w:val="clear" w:color="auto" w:fill="auto"/>
          </w:tcPr>
          <w:p w:rsidR="0025244F" w:rsidRDefault="0025244F">
            <w:pPr>
              <w:spacing w:after="0" w:line="240" w:lineRule="auto"/>
              <w:jc w:val="center"/>
            </w:pPr>
          </w:p>
        </w:tc>
        <w:tc>
          <w:tcPr>
            <w:tcW w:w="2157" w:type="dxa"/>
            <w:tcBorders>
              <w:bottom w:val="single" w:sz="4" w:space="0" w:color="00000A"/>
            </w:tcBorders>
            <w:shd w:val="clear" w:color="auto" w:fill="auto"/>
          </w:tcPr>
          <w:p w:rsidR="0025244F" w:rsidRDefault="0025244F">
            <w:pPr>
              <w:spacing w:after="0" w:line="240" w:lineRule="auto"/>
              <w:jc w:val="center"/>
            </w:pPr>
          </w:p>
        </w:tc>
        <w:tc>
          <w:tcPr>
            <w:tcW w:w="2280" w:type="dxa"/>
            <w:shd w:val="clear" w:color="auto" w:fill="auto"/>
          </w:tcPr>
          <w:p w:rsidR="0025244F" w:rsidRDefault="0025244F">
            <w:pPr>
              <w:spacing w:after="0" w:line="240" w:lineRule="auto"/>
              <w:jc w:val="center"/>
            </w:pPr>
          </w:p>
        </w:tc>
      </w:tr>
      <w:tr w:rsidR="0025244F">
        <w:tc>
          <w:tcPr>
            <w:tcW w:w="6473" w:type="dxa"/>
            <w:gridSpan w:val="3"/>
            <w:shd w:val="clear" w:color="auto" w:fill="auto"/>
          </w:tcPr>
          <w:p w:rsidR="0025244F" w:rsidRPr="00317D93" w:rsidRDefault="0025244F">
            <w:pPr>
              <w:spacing w:after="0" w:line="240" w:lineRule="auto"/>
              <w:jc w:val="center"/>
              <w:rPr>
                <w:rFonts w:ascii="Times New Roman" w:eastAsia="Times New Roman" w:hAnsi="Times New Roman" w:cs="Times New Roman"/>
                <w:color w:val="000000"/>
                <w:lang w:val="sr-Cyrl-BA"/>
              </w:rPr>
            </w:pPr>
          </w:p>
        </w:tc>
        <w:tc>
          <w:tcPr>
            <w:tcW w:w="6595" w:type="dxa"/>
            <w:gridSpan w:val="4"/>
            <w:shd w:val="clear" w:color="auto" w:fill="auto"/>
          </w:tcPr>
          <w:p w:rsidR="0025244F" w:rsidRPr="00317D93" w:rsidRDefault="00317D93">
            <w:pPr>
              <w:spacing w:after="0" w:line="240" w:lineRule="auto"/>
              <w:jc w:val="center"/>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Зоран Дебељак, интерни ревизор</w:t>
            </w:r>
          </w:p>
        </w:tc>
      </w:tr>
      <w:tr w:rsidR="0025244F">
        <w:trPr>
          <w:trHeight w:val="1383"/>
        </w:trPr>
        <w:tc>
          <w:tcPr>
            <w:tcW w:w="13068" w:type="dxa"/>
            <w:gridSpan w:val="7"/>
            <w:shd w:val="clear" w:color="auto" w:fill="auto"/>
          </w:tcPr>
          <w:p w:rsidR="0025244F" w:rsidRDefault="0025244F">
            <w:pPr>
              <w:spacing w:after="0" w:line="240" w:lineRule="auto"/>
            </w:pPr>
          </w:p>
        </w:tc>
      </w:tr>
      <w:tr w:rsidR="0025244F">
        <w:tc>
          <w:tcPr>
            <w:tcW w:w="6592" w:type="dxa"/>
            <w:gridSpan w:val="4"/>
            <w:shd w:val="clear" w:color="auto" w:fill="auto"/>
          </w:tcPr>
          <w:p w:rsidR="0025244F" w:rsidRDefault="00E01887">
            <w:pPr>
              <w:spacing w:after="0" w:line="240" w:lineRule="auto"/>
            </w:pPr>
            <w:r>
              <w:rPr>
                <w:rFonts w:ascii="Times New Roman" w:hAnsi="Times New Roman" w:cs="Times New Roman"/>
              </w:rPr>
              <w:t xml:space="preserve">Коначан ревизорски извјештај је достављен: </w:t>
            </w:r>
          </w:p>
        </w:tc>
        <w:tc>
          <w:tcPr>
            <w:tcW w:w="6476" w:type="dxa"/>
            <w:gridSpan w:val="3"/>
            <w:shd w:val="clear" w:color="auto" w:fill="auto"/>
          </w:tcPr>
          <w:p w:rsidR="0025244F" w:rsidRDefault="0025244F">
            <w:pPr>
              <w:spacing w:after="0" w:line="240" w:lineRule="auto"/>
            </w:pPr>
          </w:p>
        </w:tc>
      </w:tr>
      <w:tr w:rsidR="0025244F">
        <w:trPr>
          <w:trHeight w:val="960"/>
        </w:trPr>
        <w:tc>
          <w:tcPr>
            <w:tcW w:w="13068" w:type="dxa"/>
            <w:gridSpan w:val="7"/>
            <w:shd w:val="clear" w:color="auto" w:fill="auto"/>
          </w:tcPr>
          <w:p w:rsidR="0025244F" w:rsidRDefault="00E0188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Стручна служба Скупштине општине Прњавор </w:t>
            </w:r>
          </w:p>
          <w:p w:rsidR="0025244F" w:rsidRDefault="00E01887">
            <w:pPr>
              <w:spacing w:after="0" w:line="240" w:lineRule="auto"/>
              <w:rPr>
                <w:rFonts w:ascii="Times New Roman" w:hAnsi="Times New Roman" w:cs="Times New Roman"/>
              </w:rPr>
            </w:pPr>
            <w:r>
              <w:rPr>
                <w:rFonts w:ascii="Times New Roman" w:hAnsi="Times New Roman" w:cs="Times New Roman"/>
              </w:rPr>
              <w:t>Руководилац субјекта,</w:t>
            </w:r>
          </w:p>
          <w:p w:rsidR="0025244F" w:rsidRDefault="00E01887">
            <w:pPr>
              <w:spacing w:after="0" w:line="240" w:lineRule="auto"/>
              <w:rPr>
                <w:rFonts w:ascii="Times New Roman" w:hAnsi="Times New Roman" w:cs="Times New Roman"/>
              </w:rPr>
            </w:pPr>
            <w:r>
              <w:rPr>
                <w:rFonts w:ascii="Times New Roman" w:hAnsi="Times New Roman" w:cs="Times New Roman"/>
              </w:rPr>
              <w:t>а/а</w:t>
            </w:r>
          </w:p>
        </w:tc>
      </w:tr>
    </w:tbl>
    <w:p w:rsidR="0025244F" w:rsidRDefault="0025244F"/>
    <w:sectPr w:rsidR="0025244F" w:rsidSect="0025244F">
      <w:headerReference w:type="default" r:id="rId7"/>
      <w:pgSz w:w="15840" w:h="12240" w:orient="landscape"/>
      <w:pgMar w:top="1440" w:right="1440" w:bottom="1440" w:left="1440" w:header="709" w:footer="0"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887" w:rsidRDefault="00E01887" w:rsidP="0025244F">
      <w:pPr>
        <w:spacing w:after="0" w:line="240" w:lineRule="auto"/>
      </w:pPr>
      <w:r>
        <w:separator/>
      </w:r>
    </w:p>
  </w:endnote>
  <w:endnote w:type="continuationSeparator" w:id="1">
    <w:p w:rsidR="00E01887" w:rsidRDefault="00E01887" w:rsidP="0025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887" w:rsidRDefault="00E01887" w:rsidP="0025244F">
      <w:pPr>
        <w:spacing w:after="0" w:line="240" w:lineRule="auto"/>
      </w:pPr>
      <w:r>
        <w:separator/>
      </w:r>
    </w:p>
  </w:footnote>
  <w:footnote w:type="continuationSeparator" w:id="1">
    <w:p w:rsidR="00E01887" w:rsidRDefault="00E01887" w:rsidP="00252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50" w:type="dxa"/>
      <w:tblBorders>
        <w:top w:val="single" w:sz="8" w:space="0" w:color="00000A"/>
        <w:left w:val="single" w:sz="8" w:space="0" w:color="00000A"/>
        <w:right w:val="single" w:sz="8" w:space="0" w:color="000001"/>
        <w:insideV w:val="single" w:sz="8" w:space="0" w:color="000001"/>
      </w:tblBorders>
      <w:tblCellMar>
        <w:left w:w="98" w:type="dxa"/>
      </w:tblCellMar>
      <w:tblLook w:val="0000"/>
    </w:tblPr>
    <w:tblGrid>
      <w:gridCol w:w="12950"/>
    </w:tblGrid>
    <w:tr w:rsidR="0025244F">
      <w:trPr>
        <w:trHeight w:val="576"/>
      </w:trPr>
      <w:tc>
        <w:tcPr>
          <w:tcW w:w="12950" w:type="dxa"/>
          <w:tcBorders>
            <w:top w:val="single" w:sz="8" w:space="0" w:color="00000A"/>
            <w:left w:val="single" w:sz="8" w:space="0" w:color="00000A"/>
            <w:right w:val="single" w:sz="8" w:space="0" w:color="000001"/>
          </w:tcBorders>
          <w:shd w:val="clear" w:color="auto" w:fill="D9E1F2"/>
          <w:tcMar>
            <w:left w:w="98" w:type="dxa"/>
          </w:tcMar>
        </w:tcPr>
        <w:p w:rsidR="0025244F" w:rsidRDefault="00E01887">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ЈИР - Општина Прњавор</w:t>
          </w:r>
        </w:p>
      </w:tc>
    </w:tr>
    <w:tr w:rsidR="0025244F">
      <w:trPr>
        <w:trHeight w:val="432"/>
      </w:trPr>
      <w:tc>
        <w:tcPr>
          <w:tcW w:w="12950" w:type="dxa"/>
          <w:tcBorders>
            <w:left w:val="single" w:sz="8" w:space="0" w:color="00000A"/>
            <w:bottom w:val="single" w:sz="4" w:space="0" w:color="00000A"/>
            <w:right w:val="single" w:sz="8" w:space="0" w:color="000001"/>
          </w:tcBorders>
          <w:shd w:val="clear" w:color="auto" w:fill="FFFFFF"/>
          <w:tcMar>
            <w:left w:w="98" w:type="dxa"/>
          </w:tcMar>
        </w:tcPr>
        <w:p w:rsidR="0025244F" w:rsidRDefault="00E01887">
          <w:pPr>
            <w:tabs>
              <w:tab w:val="left" w:pos="352"/>
              <w:tab w:val="right" w:pos="12734"/>
            </w:tabs>
            <w:spacing w:after="0" w:line="240" w:lineRule="auto"/>
            <w:jc w:val="right"/>
          </w:pPr>
          <w:r>
            <w:rPr>
              <w:rFonts w:ascii="Times New Roman" w:eastAsia="Times New Roman" w:hAnsi="Times New Roman" w:cs="Times New Roman"/>
              <w:b/>
              <w:bCs/>
              <w:sz w:val="24"/>
              <w:szCs w:val="24"/>
            </w:rPr>
            <w:t xml:space="preserve">ОБРАЗАЦ 7 </w:t>
          </w:r>
        </w:p>
      </w:tc>
    </w:tr>
  </w:tbl>
  <w:p w:rsidR="0025244F" w:rsidRDefault="00252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D5841"/>
    <w:multiLevelType w:val="multilevel"/>
    <w:tmpl w:val="040490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E938D0"/>
    <w:multiLevelType w:val="multilevel"/>
    <w:tmpl w:val="AE244A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244F"/>
    <w:rsid w:val="0025244F"/>
    <w:rsid w:val="002E3FDD"/>
    <w:rsid w:val="00317D93"/>
    <w:rsid w:val="00344B69"/>
    <w:rsid w:val="004D1C8D"/>
    <w:rsid w:val="005A2B33"/>
    <w:rsid w:val="006D0662"/>
    <w:rsid w:val="00880B32"/>
    <w:rsid w:val="00E01887"/>
    <w:rsid w:val="00E644D1"/>
    <w:rsid w:val="00E76C20"/>
    <w:rsid w:val="00F93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4F"/>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25244F"/>
  </w:style>
  <w:style w:type="character" w:customStyle="1" w:styleId="FooterChar">
    <w:name w:val="Footer Char"/>
    <w:basedOn w:val="DefaultParagraphFont"/>
    <w:qFormat/>
    <w:rsid w:val="0025244F"/>
  </w:style>
  <w:style w:type="character" w:styleId="CommentReference">
    <w:name w:val="annotation reference"/>
    <w:basedOn w:val="DefaultParagraphFont"/>
    <w:qFormat/>
    <w:rsid w:val="0025244F"/>
    <w:rPr>
      <w:sz w:val="16"/>
      <w:szCs w:val="16"/>
    </w:rPr>
  </w:style>
  <w:style w:type="character" w:customStyle="1" w:styleId="CommentTextChar">
    <w:name w:val="Comment Text Char"/>
    <w:basedOn w:val="DefaultParagraphFont"/>
    <w:qFormat/>
    <w:rsid w:val="0025244F"/>
    <w:rPr>
      <w:sz w:val="20"/>
      <w:szCs w:val="20"/>
    </w:rPr>
  </w:style>
  <w:style w:type="character" w:customStyle="1" w:styleId="CommentSubjectChar">
    <w:name w:val="Comment Subject Char"/>
    <w:basedOn w:val="CommentTextChar"/>
    <w:qFormat/>
    <w:rsid w:val="0025244F"/>
    <w:rPr>
      <w:b/>
      <w:bCs/>
      <w:sz w:val="20"/>
      <w:szCs w:val="20"/>
    </w:rPr>
  </w:style>
  <w:style w:type="character" w:customStyle="1" w:styleId="BalloonTextChar">
    <w:name w:val="Balloon Text Char"/>
    <w:basedOn w:val="DefaultParagraphFont"/>
    <w:qFormat/>
    <w:rsid w:val="0025244F"/>
    <w:rPr>
      <w:rFonts w:ascii="Segoe UI" w:hAnsi="Segoe UI" w:cs="Segoe UI"/>
      <w:sz w:val="18"/>
      <w:szCs w:val="18"/>
    </w:rPr>
  </w:style>
  <w:style w:type="paragraph" w:customStyle="1" w:styleId="Heading">
    <w:name w:val="Heading"/>
    <w:basedOn w:val="Normal"/>
    <w:next w:val="TextBody"/>
    <w:qFormat/>
    <w:rsid w:val="0025244F"/>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25244F"/>
    <w:pPr>
      <w:spacing w:after="140" w:line="288" w:lineRule="auto"/>
    </w:pPr>
  </w:style>
  <w:style w:type="paragraph" w:styleId="List">
    <w:name w:val="List"/>
    <w:basedOn w:val="TextBody"/>
    <w:rsid w:val="0025244F"/>
  </w:style>
  <w:style w:type="paragraph" w:styleId="Caption">
    <w:name w:val="caption"/>
    <w:basedOn w:val="Normal"/>
    <w:qFormat/>
    <w:rsid w:val="0025244F"/>
    <w:pPr>
      <w:suppressLineNumbers/>
      <w:spacing w:before="120" w:after="120"/>
    </w:pPr>
    <w:rPr>
      <w:i/>
      <w:iCs/>
      <w:sz w:val="24"/>
      <w:szCs w:val="24"/>
    </w:rPr>
  </w:style>
  <w:style w:type="paragraph" w:customStyle="1" w:styleId="Index">
    <w:name w:val="Index"/>
    <w:basedOn w:val="Normal"/>
    <w:qFormat/>
    <w:rsid w:val="0025244F"/>
    <w:pPr>
      <w:suppressLineNumbers/>
    </w:pPr>
  </w:style>
  <w:style w:type="paragraph" w:styleId="Header">
    <w:name w:val="header"/>
    <w:basedOn w:val="Normal"/>
    <w:rsid w:val="0025244F"/>
    <w:pPr>
      <w:tabs>
        <w:tab w:val="center" w:pos="4680"/>
        <w:tab w:val="right" w:pos="9360"/>
      </w:tabs>
      <w:spacing w:after="0" w:line="240" w:lineRule="auto"/>
    </w:pPr>
  </w:style>
  <w:style w:type="paragraph" w:styleId="Footer">
    <w:name w:val="footer"/>
    <w:basedOn w:val="Normal"/>
    <w:rsid w:val="0025244F"/>
    <w:pPr>
      <w:tabs>
        <w:tab w:val="center" w:pos="4680"/>
        <w:tab w:val="right" w:pos="9360"/>
      </w:tabs>
      <w:spacing w:after="0" w:line="240" w:lineRule="auto"/>
    </w:pPr>
  </w:style>
  <w:style w:type="paragraph" w:styleId="CommentText">
    <w:name w:val="annotation text"/>
    <w:basedOn w:val="Normal"/>
    <w:qFormat/>
    <w:rsid w:val="0025244F"/>
    <w:pPr>
      <w:spacing w:line="240" w:lineRule="auto"/>
    </w:pPr>
    <w:rPr>
      <w:sz w:val="20"/>
      <w:szCs w:val="20"/>
    </w:rPr>
  </w:style>
  <w:style w:type="paragraph" w:styleId="CommentSubject">
    <w:name w:val="annotation subject"/>
    <w:basedOn w:val="CommentText"/>
    <w:qFormat/>
    <w:rsid w:val="0025244F"/>
    <w:rPr>
      <w:b/>
      <w:bCs/>
    </w:rPr>
  </w:style>
  <w:style w:type="paragraph" w:styleId="BalloonText">
    <w:name w:val="Balloon Text"/>
    <w:basedOn w:val="Normal"/>
    <w:qFormat/>
    <w:rsid w:val="0025244F"/>
    <w:pPr>
      <w:spacing w:after="0" w:line="240" w:lineRule="auto"/>
    </w:pPr>
    <w:rPr>
      <w:rFonts w:ascii="Segoe UI" w:hAnsi="Segoe UI" w:cs="Segoe UI"/>
      <w:sz w:val="18"/>
      <w:szCs w:val="18"/>
    </w:rPr>
  </w:style>
  <w:style w:type="paragraph" w:styleId="ListParagraph">
    <w:name w:val="List Paragraph"/>
    <w:basedOn w:val="Normal"/>
    <w:qFormat/>
    <w:rsid w:val="0025244F"/>
    <w:pPr>
      <w:ind w:left="720"/>
      <w:contextualSpacing/>
    </w:pPr>
  </w:style>
  <w:style w:type="paragraph" w:customStyle="1" w:styleId="TableContents">
    <w:name w:val="Table Contents"/>
    <w:basedOn w:val="Normal"/>
    <w:qFormat/>
    <w:rsid w:val="002524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Bordanic</dc:creator>
  <dc:description/>
  <cp:lastModifiedBy>korisnik</cp:lastModifiedBy>
  <cp:revision>101</cp:revision>
  <dcterms:created xsi:type="dcterms:W3CDTF">2021-08-16T14:03:00Z</dcterms:created>
  <dcterms:modified xsi:type="dcterms:W3CDTF">2023-03-24T07:54:00Z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