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b/>
          <w:bCs/>
        </w:rPr>
        <w:id w:val="-38829036"/>
        <w:docPartObj>
          <w:docPartGallery w:val="Cover Pages"/>
          <w:docPartUnique/>
        </w:docPartObj>
      </w:sdtPr>
      <w:sdtEndPr/>
      <w:sdtContent>
        <w:p w14:paraId="324A55C3" w14:textId="77777777" w:rsidR="00DA2945" w:rsidRPr="0085443D" w:rsidRDefault="00DA2945">
          <w:pPr>
            <w:spacing w:after="160" w:line="259" w:lineRule="auto"/>
            <w:rPr>
              <w:rFonts w:asciiTheme="minorHAnsi" w:hAnsiTheme="minorHAnsi" w:cstheme="minorHAnsi"/>
            </w:rPr>
          </w:pPr>
          <w:r w:rsidRPr="0085443D">
            <w:rPr>
              <w:rFonts w:asciiTheme="minorHAnsi" w:hAnsiTheme="minorHAnsi" w:cstheme="minorHAnsi"/>
              <w:b/>
              <w:bCs/>
              <w:noProof/>
              <w:lang w:val="en-US"/>
            </w:rPr>
            <mc:AlternateContent>
              <mc:Choice Requires="wps">
                <w:drawing>
                  <wp:anchor distT="0" distB="0" distL="114300" distR="114300" simplePos="0" relativeHeight="251659264" behindDoc="0" locked="0" layoutInCell="1" allowOverlap="1" wp14:anchorId="1B1FE8AA" wp14:editId="322D8844">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B838EC" w14:paraId="79C8F05A" w14:textId="77777777">
                                  <w:trPr>
                                    <w:jc w:val="center"/>
                                  </w:trPr>
                                  <w:tc>
                                    <w:tcPr>
                                      <w:tcW w:w="2568" w:type="pct"/>
                                      <w:vAlign w:val="center"/>
                                    </w:tcPr>
                                    <w:p w14:paraId="4AFDBBF3" w14:textId="77777777" w:rsidR="00B838EC" w:rsidRDefault="00B838EC">
                                      <w:pPr>
                                        <w:jc w:val="right"/>
                                      </w:pPr>
                                      <w:r>
                                        <w:rPr>
                                          <w:noProof/>
                                          <w:lang w:val="en-US"/>
                                        </w:rPr>
                                        <w:drawing>
                                          <wp:inline distT="0" distB="0" distL="0" distR="0" wp14:anchorId="53E583BC" wp14:editId="26FB9977">
                                            <wp:extent cx="13716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301" t="26796" r="38622" b="20753"/>
                                                    <a:stretch/>
                                                  </pic:blipFill>
                                                  <pic:spPr bwMode="auto">
                                                    <a:xfrm>
                                                      <a:off x="0" y="0"/>
                                                      <a:ext cx="1371600" cy="1752600"/>
                                                    </a:xfrm>
                                                    <a:prstGeom prst="rect">
                                                      <a:avLst/>
                                                    </a:prstGeom>
                                                    <a:ln>
                                                      <a:noFill/>
                                                    </a:ln>
                                                    <a:extLst>
                                                      <a:ext uri="{53640926-AAD7-44D8-BBD7-CCE9431645EC}">
                                                        <a14:shadowObscured xmlns:a14="http://schemas.microsoft.com/office/drawing/2010/main"/>
                                                      </a:ext>
                                                    </a:extLst>
                                                  </pic:spPr>
                                                </pic:pic>
                                              </a:graphicData>
                                            </a:graphic>
                                          </wp:inline>
                                        </w:drawing>
                                      </w:r>
                                    </w:p>
                                    <w:p w14:paraId="03203272" w14:textId="6BD004B2" w:rsidR="00B838EC" w:rsidRPr="00DA2945" w:rsidRDefault="00B838EC">
                                      <w:pPr>
                                        <w:pStyle w:val="NoSpacing"/>
                                        <w:spacing w:line="312" w:lineRule="auto"/>
                                        <w:jc w:val="right"/>
                                        <w:rPr>
                                          <w:rFonts w:eastAsia="Calibri"/>
                                          <w:color w:val="000000" w:themeColor="text1"/>
                                          <w:sz w:val="24"/>
                                          <w:szCs w:val="24"/>
                                          <w:lang w:val="sr-Latn-BA" w:eastAsia="en-US"/>
                                        </w:rPr>
                                      </w:pPr>
                                      <w:r w:rsidRPr="00DF1BD5">
                                        <w:rPr>
                                          <w:rFonts w:eastAsia="Calibri"/>
                                          <w:b/>
                                          <w:color w:val="000000" w:themeColor="text1"/>
                                          <w:sz w:val="28"/>
                                          <w:szCs w:val="24"/>
                                          <w:lang w:val="sr-Latn-BA" w:eastAsia="en-US"/>
                                        </w:rPr>
                                        <w:t xml:space="preserve">Revidirana </w:t>
                                      </w:r>
                                      <w:r>
                                        <w:rPr>
                                          <w:rFonts w:eastAsia="Calibri"/>
                                          <w:b/>
                                          <w:color w:val="000000" w:themeColor="text1"/>
                                          <w:sz w:val="28"/>
                                          <w:szCs w:val="24"/>
                                          <w:lang w:val="sr-Latn-BA" w:eastAsia="en-US"/>
                                        </w:rPr>
                                        <w:t>Strategija</w:t>
                                      </w:r>
                                      <w:r w:rsidRPr="00DF1BD5">
                                        <w:rPr>
                                          <w:rFonts w:eastAsia="Calibri"/>
                                          <w:b/>
                                          <w:color w:val="000000" w:themeColor="text1"/>
                                          <w:sz w:val="28"/>
                                          <w:szCs w:val="24"/>
                                          <w:lang w:val="sr-Latn-BA" w:eastAsia="en-US"/>
                                        </w:rPr>
                                        <w:t xml:space="preserve"> razvoja </w:t>
                                      </w:r>
                                      <w:r>
                                        <w:rPr>
                                          <w:rFonts w:eastAsia="Calibri"/>
                                          <w:b/>
                                          <w:color w:val="000000" w:themeColor="text1"/>
                                          <w:sz w:val="28"/>
                                          <w:szCs w:val="24"/>
                                          <w:lang w:val="sr-Latn-BA" w:eastAsia="en-US"/>
                                        </w:rPr>
                                        <w:t xml:space="preserve">                        </w:t>
                                      </w:r>
                                      <w:r w:rsidRPr="00DF1BD5">
                                        <w:rPr>
                                          <w:rFonts w:eastAsia="Calibri"/>
                                          <w:b/>
                                          <w:color w:val="000000" w:themeColor="text1"/>
                                          <w:sz w:val="28"/>
                                          <w:szCs w:val="24"/>
                                          <w:lang w:val="sr-Latn-BA" w:eastAsia="en-US"/>
                                        </w:rPr>
                                        <w:t xml:space="preserve">opštine Prnjavor </w:t>
                                      </w:r>
                                      <w:r>
                                        <w:rPr>
                                          <w:rFonts w:eastAsia="Calibri"/>
                                          <w:b/>
                                          <w:color w:val="000000" w:themeColor="text1"/>
                                          <w:sz w:val="28"/>
                                          <w:szCs w:val="24"/>
                                          <w:lang w:val="sr-Latn-BA" w:eastAsia="en-US"/>
                                        </w:rPr>
                                        <w:t xml:space="preserve">                                          </w:t>
                                      </w:r>
                                      <w:r w:rsidRPr="00DF1BD5">
                                        <w:rPr>
                                          <w:rFonts w:eastAsia="Calibri"/>
                                          <w:b/>
                                          <w:color w:val="000000" w:themeColor="text1"/>
                                          <w:sz w:val="28"/>
                                          <w:szCs w:val="24"/>
                                          <w:lang w:val="sr-Latn-BA" w:eastAsia="en-US"/>
                                        </w:rPr>
                                        <w:t>radna verzija</w:t>
                                      </w:r>
                                    </w:p>
                                    <w:p w14:paraId="053BF8BD" w14:textId="7D729FB8" w:rsidR="00B838EC" w:rsidRDefault="00B838EC" w:rsidP="00DA2945">
                                      <w:pPr>
                                        <w:jc w:val="right"/>
                                        <w:rPr>
                                          <w:sz w:val="24"/>
                                          <w:szCs w:val="24"/>
                                        </w:rPr>
                                      </w:pPr>
                                      <w:r>
                                        <w:rPr>
                                          <w:color w:val="000000" w:themeColor="text1"/>
                                          <w:sz w:val="24"/>
                                          <w:szCs w:val="24"/>
                                        </w:rPr>
                                        <w:t>Prnjavor, oktobar 2017.</w:t>
                                      </w:r>
                                    </w:p>
                                  </w:tc>
                                  <w:tc>
                                    <w:tcPr>
                                      <w:tcW w:w="2432" w:type="pct"/>
                                      <w:vAlign w:val="center"/>
                                    </w:tcPr>
                                    <w:p w14:paraId="68C21C6A" w14:textId="77777777" w:rsidR="00B838EC" w:rsidRDefault="00B838EC">
                                      <w:pPr>
                                        <w:pStyle w:val="NoSpacing"/>
                                      </w:pPr>
                                    </w:p>
                                  </w:tc>
                                </w:tr>
                              </w:tbl>
                              <w:p w14:paraId="2CB9A628" w14:textId="77777777" w:rsidR="00B838EC" w:rsidRDefault="00B838E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B1FE8AA"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B838EC" w14:paraId="79C8F05A" w14:textId="77777777">
                            <w:trPr>
                              <w:jc w:val="center"/>
                            </w:trPr>
                            <w:tc>
                              <w:tcPr>
                                <w:tcW w:w="2568" w:type="pct"/>
                                <w:vAlign w:val="center"/>
                              </w:tcPr>
                              <w:p w14:paraId="4AFDBBF3" w14:textId="77777777" w:rsidR="00B838EC" w:rsidRDefault="00B838EC">
                                <w:pPr>
                                  <w:jc w:val="right"/>
                                </w:pPr>
                                <w:r>
                                  <w:rPr>
                                    <w:noProof/>
                                    <w:lang w:val="en-US"/>
                                  </w:rPr>
                                  <w:drawing>
                                    <wp:inline distT="0" distB="0" distL="0" distR="0" wp14:anchorId="53E583BC" wp14:editId="26FB9977">
                                      <wp:extent cx="13716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301" t="26796" r="38622" b="20753"/>
                                              <a:stretch/>
                                            </pic:blipFill>
                                            <pic:spPr bwMode="auto">
                                              <a:xfrm>
                                                <a:off x="0" y="0"/>
                                                <a:ext cx="1371600" cy="1752600"/>
                                              </a:xfrm>
                                              <a:prstGeom prst="rect">
                                                <a:avLst/>
                                              </a:prstGeom>
                                              <a:ln>
                                                <a:noFill/>
                                              </a:ln>
                                              <a:extLst>
                                                <a:ext uri="{53640926-AAD7-44D8-BBD7-CCE9431645EC}">
                                                  <a14:shadowObscured xmlns:a14="http://schemas.microsoft.com/office/drawing/2010/main"/>
                                                </a:ext>
                                              </a:extLst>
                                            </pic:spPr>
                                          </pic:pic>
                                        </a:graphicData>
                                      </a:graphic>
                                    </wp:inline>
                                  </w:drawing>
                                </w:r>
                              </w:p>
                              <w:p w14:paraId="03203272" w14:textId="6BD004B2" w:rsidR="00B838EC" w:rsidRPr="00DA2945" w:rsidRDefault="00B838EC">
                                <w:pPr>
                                  <w:pStyle w:val="NoSpacing"/>
                                  <w:spacing w:line="312" w:lineRule="auto"/>
                                  <w:jc w:val="right"/>
                                  <w:rPr>
                                    <w:rFonts w:eastAsia="Calibri"/>
                                    <w:color w:val="000000" w:themeColor="text1"/>
                                    <w:sz w:val="24"/>
                                    <w:szCs w:val="24"/>
                                    <w:lang w:val="sr-Latn-BA" w:eastAsia="en-US"/>
                                  </w:rPr>
                                </w:pPr>
                                <w:r w:rsidRPr="00DF1BD5">
                                  <w:rPr>
                                    <w:rFonts w:eastAsia="Calibri"/>
                                    <w:b/>
                                    <w:color w:val="000000" w:themeColor="text1"/>
                                    <w:sz w:val="28"/>
                                    <w:szCs w:val="24"/>
                                    <w:lang w:val="sr-Latn-BA" w:eastAsia="en-US"/>
                                  </w:rPr>
                                  <w:t xml:space="preserve">Revidirana </w:t>
                                </w:r>
                                <w:r>
                                  <w:rPr>
                                    <w:rFonts w:eastAsia="Calibri"/>
                                    <w:b/>
                                    <w:color w:val="000000" w:themeColor="text1"/>
                                    <w:sz w:val="28"/>
                                    <w:szCs w:val="24"/>
                                    <w:lang w:val="sr-Latn-BA" w:eastAsia="en-US"/>
                                  </w:rPr>
                                  <w:t>Strategija</w:t>
                                </w:r>
                                <w:r w:rsidRPr="00DF1BD5">
                                  <w:rPr>
                                    <w:rFonts w:eastAsia="Calibri"/>
                                    <w:b/>
                                    <w:color w:val="000000" w:themeColor="text1"/>
                                    <w:sz w:val="28"/>
                                    <w:szCs w:val="24"/>
                                    <w:lang w:val="sr-Latn-BA" w:eastAsia="en-US"/>
                                  </w:rPr>
                                  <w:t xml:space="preserve"> razvoja </w:t>
                                </w:r>
                                <w:r>
                                  <w:rPr>
                                    <w:rFonts w:eastAsia="Calibri"/>
                                    <w:b/>
                                    <w:color w:val="000000" w:themeColor="text1"/>
                                    <w:sz w:val="28"/>
                                    <w:szCs w:val="24"/>
                                    <w:lang w:val="sr-Latn-BA" w:eastAsia="en-US"/>
                                  </w:rPr>
                                  <w:t xml:space="preserve">                        </w:t>
                                </w:r>
                                <w:r w:rsidRPr="00DF1BD5">
                                  <w:rPr>
                                    <w:rFonts w:eastAsia="Calibri"/>
                                    <w:b/>
                                    <w:color w:val="000000" w:themeColor="text1"/>
                                    <w:sz w:val="28"/>
                                    <w:szCs w:val="24"/>
                                    <w:lang w:val="sr-Latn-BA" w:eastAsia="en-US"/>
                                  </w:rPr>
                                  <w:t xml:space="preserve">opštine Prnjavor </w:t>
                                </w:r>
                                <w:r>
                                  <w:rPr>
                                    <w:rFonts w:eastAsia="Calibri"/>
                                    <w:b/>
                                    <w:color w:val="000000" w:themeColor="text1"/>
                                    <w:sz w:val="28"/>
                                    <w:szCs w:val="24"/>
                                    <w:lang w:val="sr-Latn-BA" w:eastAsia="en-US"/>
                                  </w:rPr>
                                  <w:t xml:space="preserve">                                          </w:t>
                                </w:r>
                                <w:r w:rsidRPr="00DF1BD5">
                                  <w:rPr>
                                    <w:rFonts w:eastAsia="Calibri"/>
                                    <w:b/>
                                    <w:color w:val="000000" w:themeColor="text1"/>
                                    <w:sz w:val="28"/>
                                    <w:szCs w:val="24"/>
                                    <w:lang w:val="sr-Latn-BA" w:eastAsia="en-US"/>
                                  </w:rPr>
                                  <w:t>radna verzija</w:t>
                                </w:r>
                              </w:p>
                              <w:p w14:paraId="053BF8BD" w14:textId="7D729FB8" w:rsidR="00B838EC" w:rsidRDefault="00B838EC" w:rsidP="00DA2945">
                                <w:pPr>
                                  <w:jc w:val="right"/>
                                  <w:rPr>
                                    <w:sz w:val="24"/>
                                    <w:szCs w:val="24"/>
                                  </w:rPr>
                                </w:pPr>
                                <w:r>
                                  <w:rPr>
                                    <w:color w:val="000000" w:themeColor="text1"/>
                                    <w:sz w:val="24"/>
                                    <w:szCs w:val="24"/>
                                  </w:rPr>
                                  <w:t>Prnjavor, oktobar 2017.</w:t>
                                </w:r>
                              </w:p>
                            </w:tc>
                            <w:tc>
                              <w:tcPr>
                                <w:tcW w:w="2432" w:type="pct"/>
                                <w:vAlign w:val="center"/>
                              </w:tcPr>
                              <w:p w14:paraId="68C21C6A" w14:textId="77777777" w:rsidR="00B838EC" w:rsidRDefault="00B838EC">
                                <w:pPr>
                                  <w:pStyle w:val="NoSpacing"/>
                                </w:pPr>
                              </w:p>
                            </w:tc>
                          </w:tr>
                        </w:tbl>
                        <w:p w14:paraId="2CB9A628" w14:textId="77777777" w:rsidR="00B838EC" w:rsidRDefault="00B838EC"/>
                      </w:txbxContent>
                    </v:textbox>
                    <w10:wrap anchorx="page" anchory="page"/>
                  </v:shape>
                </w:pict>
              </mc:Fallback>
            </mc:AlternateContent>
          </w:r>
          <w:r w:rsidRPr="0085443D">
            <w:rPr>
              <w:rFonts w:asciiTheme="minorHAnsi" w:hAnsiTheme="minorHAnsi" w:cstheme="minorHAnsi"/>
              <w:b/>
              <w:bCs/>
            </w:rPr>
            <w:br w:type="page"/>
          </w:r>
        </w:p>
      </w:sdtContent>
    </w:sdt>
    <w:p w14:paraId="194772C9" w14:textId="26F334C1" w:rsidR="000B6E58" w:rsidRDefault="000B6E58" w:rsidP="003B497A">
      <w:pPr>
        <w:pStyle w:val="Heading1"/>
        <w:rPr>
          <w:lang w:val="pl-PL"/>
        </w:rPr>
      </w:pPr>
      <w:bookmarkStart w:id="0" w:name="_Toc496413369"/>
      <w:r>
        <w:rPr>
          <w:lang w:val="pl-PL"/>
        </w:rPr>
        <w:lastRenderedPageBreak/>
        <w:t>I Sadržaj</w:t>
      </w:r>
      <w:bookmarkEnd w:id="0"/>
    </w:p>
    <w:sdt>
      <w:sdtPr>
        <w:rPr>
          <w:rFonts w:ascii="Calibri" w:eastAsia="Calibri" w:hAnsi="Calibri"/>
          <w:color w:val="auto"/>
          <w:sz w:val="22"/>
          <w:szCs w:val="22"/>
          <w:lang w:val="sr-Latn-BA"/>
        </w:rPr>
        <w:id w:val="-382101537"/>
        <w:docPartObj>
          <w:docPartGallery w:val="Table of Contents"/>
          <w:docPartUnique/>
        </w:docPartObj>
      </w:sdtPr>
      <w:sdtEndPr>
        <w:rPr>
          <w:b/>
          <w:bCs/>
          <w:noProof/>
        </w:rPr>
      </w:sdtEndPr>
      <w:sdtContent>
        <w:p w14:paraId="49B7CB2A" w14:textId="264C8D92" w:rsidR="00F67084" w:rsidRDefault="00F67084">
          <w:pPr>
            <w:pStyle w:val="TOCHeading"/>
          </w:pPr>
        </w:p>
        <w:p w14:paraId="37DCD26A" w14:textId="160AA16F" w:rsidR="009138A4" w:rsidRDefault="00F67084">
          <w:pPr>
            <w:pStyle w:val="TOC1"/>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496413369" w:history="1">
            <w:r w:rsidR="009138A4" w:rsidRPr="00666DA1">
              <w:rPr>
                <w:rStyle w:val="Hyperlink"/>
                <w:noProof/>
                <w:lang w:val="pl-PL"/>
              </w:rPr>
              <w:t>I Sadržaj</w:t>
            </w:r>
            <w:r w:rsidR="009138A4">
              <w:rPr>
                <w:noProof/>
                <w:webHidden/>
              </w:rPr>
              <w:tab/>
            </w:r>
            <w:r w:rsidR="009138A4">
              <w:rPr>
                <w:noProof/>
                <w:webHidden/>
              </w:rPr>
              <w:fldChar w:fldCharType="begin"/>
            </w:r>
            <w:r w:rsidR="009138A4">
              <w:rPr>
                <w:noProof/>
                <w:webHidden/>
              </w:rPr>
              <w:instrText xml:space="preserve"> PAGEREF _Toc496413369 \h </w:instrText>
            </w:r>
            <w:r w:rsidR="009138A4">
              <w:rPr>
                <w:noProof/>
                <w:webHidden/>
              </w:rPr>
            </w:r>
            <w:r w:rsidR="009138A4">
              <w:rPr>
                <w:noProof/>
                <w:webHidden/>
              </w:rPr>
              <w:fldChar w:fldCharType="separate"/>
            </w:r>
            <w:r w:rsidR="00446463">
              <w:rPr>
                <w:noProof/>
                <w:webHidden/>
              </w:rPr>
              <w:t>2</w:t>
            </w:r>
            <w:r w:rsidR="009138A4">
              <w:rPr>
                <w:noProof/>
                <w:webHidden/>
              </w:rPr>
              <w:fldChar w:fldCharType="end"/>
            </w:r>
          </w:hyperlink>
        </w:p>
        <w:p w14:paraId="2D80F351" w14:textId="2A0E7B67" w:rsidR="009138A4" w:rsidRDefault="00D6421B">
          <w:pPr>
            <w:pStyle w:val="TOC1"/>
            <w:tabs>
              <w:tab w:val="right" w:leader="dot" w:pos="9350"/>
            </w:tabs>
            <w:rPr>
              <w:rFonts w:asciiTheme="minorHAnsi" w:eastAsiaTheme="minorEastAsia" w:hAnsiTheme="minorHAnsi" w:cstheme="minorBidi"/>
              <w:noProof/>
              <w:lang w:val="en-US"/>
            </w:rPr>
          </w:pPr>
          <w:hyperlink w:anchor="_Toc496413370" w:history="1">
            <w:r w:rsidR="009138A4" w:rsidRPr="00666DA1">
              <w:rPr>
                <w:rStyle w:val="Hyperlink"/>
                <w:noProof/>
                <w:lang w:val="pl-PL"/>
              </w:rPr>
              <w:t>II Uvod</w:t>
            </w:r>
            <w:r w:rsidR="009138A4">
              <w:rPr>
                <w:noProof/>
                <w:webHidden/>
              </w:rPr>
              <w:tab/>
            </w:r>
            <w:r w:rsidR="009138A4">
              <w:rPr>
                <w:noProof/>
                <w:webHidden/>
              </w:rPr>
              <w:fldChar w:fldCharType="begin"/>
            </w:r>
            <w:r w:rsidR="009138A4">
              <w:rPr>
                <w:noProof/>
                <w:webHidden/>
              </w:rPr>
              <w:instrText xml:space="preserve"> PAGEREF _Toc496413370 \h </w:instrText>
            </w:r>
            <w:r w:rsidR="009138A4">
              <w:rPr>
                <w:noProof/>
                <w:webHidden/>
              </w:rPr>
            </w:r>
            <w:r w:rsidR="009138A4">
              <w:rPr>
                <w:noProof/>
                <w:webHidden/>
              </w:rPr>
              <w:fldChar w:fldCharType="separate"/>
            </w:r>
            <w:r w:rsidR="00446463">
              <w:rPr>
                <w:noProof/>
                <w:webHidden/>
              </w:rPr>
              <w:t>3</w:t>
            </w:r>
            <w:r w:rsidR="009138A4">
              <w:rPr>
                <w:noProof/>
                <w:webHidden/>
              </w:rPr>
              <w:fldChar w:fldCharType="end"/>
            </w:r>
          </w:hyperlink>
        </w:p>
        <w:p w14:paraId="470336DA" w14:textId="3E01E274" w:rsidR="009138A4" w:rsidRDefault="00D6421B">
          <w:pPr>
            <w:pStyle w:val="TOC1"/>
            <w:tabs>
              <w:tab w:val="left" w:pos="440"/>
              <w:tab w:val="right" w:leader="dot" w:pos="9350"/>
            </w:tabs>
            <w:rPr>
              <w:rFonts w:asciiTheme="minorHAnsi" w:eastAsiaTheme="minorEastAsia" w:hAnsiTheme="minorHAnsi" w:cstheme="minorBidi"/>
              <w:noProof/>
              <w:lang w:val="en-US"/>
            </w:rPr>
          </w:pPr>
          <w:hyperlink w:anchor="_Toc496413371" w:history="1">
            <w:r w:rsidR="009138A4" w:rsidRPr="00666DA1">
              <w:rPr>
                <w:rStyle w:val="Hyperlink"/>
                <w:noProof/>
              </w:rPr>
              <w:t>III</w:t>
            </w:r>
            <w:r w:rsidR="009138A4">
              <w:rPr>
                <w:rFonts w:asciiTheme="minorHAnsi" w:eastAsiaTheme="minorEastAsia" w:hAnsiTheme="minorHAnsi" w:cstheme="minorBidi"/>
                <w:noProof/>
                <w:lang w:val="en-US"/>
              </w:rPr>
              <w:tab/>
            </w:r>
            <w:r w:rsidR="009138A4" w:rsidRPr="00666DA1">
              <w:rPr>
                <w:rStyle w:val="Hyperlink"/>
                <w:noProof/>
              </w:rPr>
              <w:t>Metodologija</w:t>
            </w:r>
            <w:r w:rsidR="009138A4" w:rsidRPr="00666DA1">
              <w:rPr>
                <w:rStyle w:val="Hyperlink"/>
                <w:noProof/>
                <w:lang w:val="bs-Latn-BA"/>
              </w:rPr>
              <w:t xml:space="preserve"> </w:t>
            </w:r>
            <w:r w:rsidR="009138A4" w:rsidRPr="00666DA1">
              <w:rPr>
                <w:rStyle w:val="Hyperlink"/>
                <w:noProof/>
              </w:rPr>
              <w:t>kreiranja</w:t>
            </w:r>
            <w:r w:rsidR="009138A4" w:rsidRPr="00666DA1">
              <w:rPr>
                <w:rStyle w:val="Hyperlink"/>
                <w:noProof/>
                <w:lang w:val="bs-Latn-BA"/>
              </w:rPr>
              <w:t xml:space="preserve"> </w:t>
            </w:r>
            <w:r w:rsidR="009138A4" w:rsidRPr="00666DA1">
              <w:rPr>
                <w:rStyle w:val="Hyperlink"/>
                <w:noProof/>
              </w:rPr>
              <w:t>revidirane</w:t>
            </w:r>
            <w:r w:rsidR="009138A4" w:rsidRPr="00666DA1">
              <w:rPr>
                <w:rStyle w:val="Hyperlink"/>
                <w:noProof/>
                <w:lang w:val="bs-Latn-BA"/>
              </w:rPr>
              <w:t xml:space="preserve"> </w:t>
            </w:r>
            <w:r w:rsidR="009138A4" w:rsidRPr="00666DA1">
              <w:rPr>
                <w:rStyle w:val="Hyperlink"/>
                <w:noProof/>
              </w:rPr>
              <w:t>strateške platforme</w:t>
            </w:r>
            <w:r w:rsidR="009138A4">
              <w:rPr>
                <w:noProof/>
                <w:webHidden/>
              </w:rPr>
              <w:tab/>
            </w:r>
            <w:r w:rsidR="009138A4">
              <w:rPr>
                <w:noProof/>
                <w:webHidden/>
              </w:rPr>
              <w:fldChar w:fldCharType="begin"/>
            </w:r>
            <w:r w:rsidR="009138A4">
              <w:rPr>
                <w:noProof/>
                <w:webHidden/>
              </w:rPr>
              <w:instrText xml:space="preserve"> PAGEREF _Toc496413371 \h </w:instrText>
            </w:r>
            <w:r w:rsidR="009138A4">
              <w:rPr>
                <w:noProof/>
                <w:webHidden/>
              </w:rPr>
            </w:r>
            <w:r w:rsidR="009138A4">
              <w:rPr>
                <w:noProof/>
                <w:webHidden/>
              </w:rPr>
              <w:fldChar w:fldCharType="separate"/>
            </w:r>
            <w:r w:rsidR="00446463">
              <w:rPr>
                <w:noProof/>
                <w:webHidden/>
              </w:rPr>
              <w:t>3</w:t>
            </w:r>
            <w:r w:rsidR="009138A4">
              <w:rPr>
                <w:noProof/>
                <w:webHidden/>
              </w:rPr>
              <w:fldChar w:fldCharType="end"/>
            </w:r>
          </w:hyperlink>
        </w:p>
        <w:p w14:paraId="615C2D86" w14:textId="48103FB9" w:rsidR="009138A4" w:rsidRDefault="00D6421B">
          <w:pPr>
            <w:pStyle w:val="TOC1"/>
            <w:tabs>
              <w:tab w:val="left" w:pos="440"/>
              <w:tab w:val="right" w:leader="dot" w:pos="9350"/>
            </w:tabs>
            <w:rPr>
              <w:rFonts w:asciiTheme="minorHAnsi" w:eastAsiaTheme="minorEastAsia" w:hAnsiTheme="minorHAnsi" w:cstheme="minorBidi"/>
              <w:noProof/>
              <w:lang w:val="en-US"/>
            </w:rPr>
          </w:pPr>
          <w:hyperlink w:anchor="_Toc496413372" w:history="1">
            <w:r w:rsidR="009138A4" w:rsidRPr="00666DA1">
              <w:rPr>
                <w:rStyle w:val="Hyperlink"/>
                <w:noProof/>
              </w:rPr>
              <w:t>IV</w:t>
            </w:r>
            <w:r w:rsidR="009138A4">
              <w:rPr>
                <w:rFonts w:asciiTheme="minorHAnsi" w:eastAsiaTheme="minorEastAsia" w:hAnsiTheme="minorHAnsi" w:cstheme="minorBidi"/>
                <w:noProof/>
                <w:lang w:val="en-US"/>
              </w:rPr>
              <w:tab/>
            </w:r>
            <w:r w:rsidR="009138A4" w:rsidRPr="00666DA1">
              <w:rPr>
                <w:rStyle w:val="Hyperlink"/>
                <w:noProof/>
              </w:rPr>
              <w:t>Strate</w:t>
            </w:r>
            <w:r w:rsidR="009138A4" w:rsidRPr="00666DA1">
              <w:rPr>
                <w:rStyle w:val="Hyperlink"/>
                <w:noProof/>
                <w:lang w:val="sr-Cyrl-BA"/>
              </w:rPr>
              <w:t>š</w:t>
            </w:r>
            <w:r w:rsidR="009138A4" w:rsidRPr="00666DA1">
              <w:rPr>
                <w:rStyle w:val="Hyperlink"/>
                <w:noProof/>
              </w:rPr>
              <w:t>ka</w:t>
            </w:r>
            <w:r w:rsidR="009138A4" w:rsidRPr="00666DA1">
              <w:rPr>
                <w:rStyle w:val="Hyperlink"/>
                <w:noProof/>
                <w:lang w:val="sr-Cyrl-BA"/>
              </w:rPr>
              <w:t xml:space="preserve"> </w:t>
            </w:r>
            <w:r w:rsidR="009138A4" w:rsidRPr="00666DA1">
              <w:rPr>
                <w:rStyle w:val="Hyperlink"/>
                <w:noProof/>
              </w:rPr>
              <w:t>plaforma</w:t>
            </w:r>
            <w:r w:rsidR="009138A4">
              <w:rPr>
                <w:noProof/>
                <w:webHidden/>
              </w:rPr>
              <w:tab/>
            </w:r>
            <w:r w:rsidR="009138A4">
              <w:rPr>
                <w:noProof/>
                <w:webHidden/>
              </w:rPr>
              <w:fldChar w:fldCharType="begin"/>
            </w:r>
            <w:r w:rsidR="009138A4">
              <w:rPr>
                <w:noProof/>
                <w:webHidden/>
              </w:rPr>
              <w:instrText xml:space="preserve"> PAGEREF _Toc496413372 \h </w:instrText>
            </w:r>
            <w:r w:rsidR="009138A4">
              <w:rPr>
                <w:noProof/>
                <w:webHidden/>
              </w:rPr>
            </w:r>
            <w:r w:rsidR="009138A4">
              <w:rPr>
                <w:noProof/>
                <w:webHidden/>
              </w:rPr>
              <w:fldChar w:fldCharType="separate"/>
            </w:r>
            <w:r w:rsidR="00446463">
              <w:rPr>
                <w:noProof/>
                <w:webHidden/>
              </w:rPr>
              <w:t>4</w:t>
            </w:r>
            <w:r w:rsidR="009138A4">
              <w:rPr>
                <w:noProof/>
                <w:webHidden/>
              </w:rPr>
              <w:fldChar w:fldCharType="end"/>
            </w:r>
          </w:hyperlink>
        </w:p>
        <w:p w14:paraId="284B4FD6" w14:textId="0979F42B" w:rsidR="009138A4" w:rsidRDefault="00D6421B">
          <w:pPr>
            <w:pStyle w:val="TOC2"/>
            <w:tabs>
              <w:tab w:val="left" w:pos="880"/>
              <w:tab w:val="right" w:leader="dot" w:pos="9350"/>
            </w:tabs>
            <w:rPr>
              <w:rFonts w:asciiTheme="minorHAnsi" w:eastAsiaTheme="minorEastAsia" w:hAnsiTheme="minorHAnsi" w:cstheme="minorBidi"/>
              <w:noProof/>
              <w:lang w:val="en-US"/>
            </w:rPr>
          </w:pPr>
          <w:hyperlink w:anchor="_Toc496413373" w:history="1">
            <w:r w:rsidR="009138A4" w:rsidRPr="00666DA1">
              <w:rPr>
                <w:rStyle w:val="Hyperlink"/>
                <w:noProof/>
              </w:rPr>
              <w:t>IV.1.</w:t>
            </w:r>
            <w:r w:rsidR="009138A4">
              <w:rPr>
                <w:rFonts w:asciiTheme="minorHAnsi" w:eastAsiaTheme="minorEastAsia" w:hAnsiTheme="minorHAnsi" w:cstheme="minorBidi"/>
                <w:noProof/>
                <w:lang w:val="en-US"/>
              </w:rPr>
              <w:tab/>
            </w:r>
            <w:r w:rsidR="009138A4" w:rsidRPr="00666DA1">
              <w:rPr>
                <w:rStyle w:val="Hyperlink"/>
                <w:noProof/>
              </w:rPr>
              <w:t>Kratak pregled ključnih izmjena socio-ekonomskog stanja u odnosu na prethodni period implementacije</w:t>
            </w:r>
            <w:r w:rsidR="009138A4">
              <w:rPr>
                <w:noProof/>
                <w:webHidden/>
              </w:rPr>
              <w:tab/>
            </w:r>
            <w:r w:rsidR="009138A4">
              <w:rPr>
                <w:noProof/>
                <w:webHidden/>
              </w:rPr>
              <w:fldChar w:fldCharType="begin"/>
            </w:r>
            <w:r w:rsidR="009138A4">
              <w:rPr>
                <w:noProof/>
                <w:webHidden/>
              </w:rPr>
              <w:instrText xml:space="preserve"> PAGEREF _Toc496413373 \h </w:instrText>
            </w:r>
            <w:r w:rsidR="009138A4">
              <w:rPr>
                <w:noProof/>
                <w:webHidden/>
              </w:rPr>
            </w:r>
            <w:r w:rsidR="009138A4">
              <w:rPr>
                <w:noProof/>
                <w:webHidden/>
              </w:rPr>
              <w:fldChar w:fldCharType="separate"/>
            </w:r>
            <w:r w:rsidR="00446463">
              <w:rPr>
                <w:noProof/>
                <w:webHidden/>
              </w:rPr>
              <w:t>4</w:t>
            </w:r>
            <w:r w:rsidR="009138A4">
              <w:rPr>
                <w:noProof/>
                <w:webHidden/>
              </w:rPr>
              <w:fldChar w:fldCharType="end"/>
            </w:r>
          </w:hyperlink>
        </w:p>
        <w:p w14:paraId="6C429CA1" w14:textId="5B4F84C1" w:rsidR="009138A4" w:rsidRDefault="00D6421B">
          <w:pPr>
            <w:pStyle w:val="TOC2"/>
            <w:tabs>
              <w:tab w:val="left" w:pos="880"/>
              <w:tab w:val="right" w:leader="dot" w:pos="9350"/>
            </w:tabs>
            <w:rPr>
              <w:rFonts w:asciiTheme="minorHAnsi" w:eastAsiaTheme="minorEastAsia" w:hAnsiTheme="minorHAnsi" w:cstheme="minorBidi"/>
              <w:noProof/>
              <w:lang w:val="en-US"/>
            </w:rPr>
          </w:pPr>
          <w:hyperlink w:anchor="_Toc496413374" w:history="1">
            <w:r w:rsidR="009138A4" w:rsidRPr="00666DA1">
              <w:rPr>
                <w:rStyle w:val="Hyperlink"/>
                <w:noProof/>
              </w:rPr>
              <w:t>IV.2.</w:t>
            </w:r>
            <w:r w:rsidR="009138A4">
              <w:rPr>
                <w:rFonts w:asciiTheme="minorHAnsi" w:eastAsiaTheme="minorEastAsia" w:hAnsiTheme="minorHAnsi" w:cstheme="minorBidi"/>
                <w:noProof/>
                <w:lang w:val="en-US"/>
              </w:rPr>
              <w:tab/>
            </w:r>
            <w:r w:rsidR="009138A4" w:rsidRPr="00666DA1">
              <w:rPr>
                <w:rStyle w:val="Hyperlink"/>
                <w:noProof/>
              </w:rPr>
              <w:t>Strateško fokusiranje</w:t>
            </w:r>
            <w:r w:rsidR="009138A4">
              <w:rPr>
                <w:noProof/>
                <w:webHidden/>
              </w:rPr>
              <w:tab/>
            </w:r>
            <w:r w:rsidR="009138A4">
              <w:rPr>
                <w:noProof/>
                <w:webHidden/>
              </w:rPr>
              <w:fldChar w:fldCharType="begin"/>
            </w:r>
            <w:r w:rsidR="009138A4">
              <w:rPr>
                <w:noProof/>
                <w:webHidden/>
              </w:rPr>
              <w:instrText xml:space="preserve"> PAGEREF _Toc496413374 \h </w:instrText>
            </w:r>
            <w:r w:rsidR="009138A4">
              <w:rPr>
                <w:noProof/>
                <w:webHidden/>
              </w:rPr>
            </w:r>
            <w:r w:rsidR="009138A4">
              <w:rPr>
                <w:noProof/>
                <w:webHidden/>
              </w:rPr>
              <w:fldChar w:fldCharType="separate"/>
            </w:r>
            <w:r w:rsidR="00446463">
              <w:rPr>
                <w:noProof/>
                <w:webHidden/>
              </w:rPr>
              <w:t>31</w:t>
            </w:r>
            <w:r w:rsidR="009138A4">
              <w:rPr>
                <w:noProof/>
                <w:webHidden/>
              </w:rPr>
              <w:fldChar w:fldCharType="end"/>
            </w:r>
          </w:hyperlink>
        </w:p>
        <w:p w14:paraId="527FCF2A" w14:textId="5ADEABA7" w:rsidR="009138A4" w:rsidRDefault="00D6421B">
          <w:pPr>
            <w:pStyle w:val="TOC2"/>
            <w:tabs>
              <w:tab w:val="left" w:pos="880"/>
              <w:tab w:val="right" w:leader="dot" w:pos="9350"/>
            </w:tabs>
            <w:rPr>
              <w:rFonts w:asciiTheme="minorHAnsi" w:eastAsiaTheme="minorEastAsia" w:hAnsiTheme="minorHAnsi" w:cstheme="minorBidi"/>
              <w:noProof/>
              <w:lang w:val="en-US"/>
            </w:rPr>
          </w:pPr>
          <w:hyperlink w:anchor="_Toc496413375" w:history="1">
            <w:r w:rsidR="009138A4" w:rsidRPr="00666DA1">
              <w:rPr>
                <w:rStyle w:val="Hyperlink"/>
                <w:noProof/>
              </w:rPr>
              <w:t>IV.3.</w:t>
            </w:r>
            <w:r w:rsidR="009138A4">
              <w:rPr>
                <w:rFonts w:asciiTheme="minorHAnsi" w:eastAsiaTheme="minorEastAsia" w:hAnsiTheme="minorHAnsi" w:cstheme="minorBidi"/>
                <w:noProof/>
                <w:lang w:val="en-US"/>
              </w:rPr>
              <w:tab/>
            </w:r>
            <w:r w:rsidR="009138A4" w:rsidRPr="00666DA1">
              <w:rPr>
                <w:rStyle w:val="Hyperlink"/>
                <w:noProof/>
              </w:rPr>
              <w:t>Vizija i strateški ciljevi razvoja</w:t>
            </w:r>
            <w:r w:rsidR="009138A4">
              <w:rPr>
                <w:noProof/>
                <w:webHidden/>
              </w:rPr>
              <w:tab/>
            </w:r>
            <w:r w:rsidR="009138A4">
              <w:rPr>
                <w:noProof/>
                <w:webHidden/>
              </w:rPr>
              <w:fldChar w:fldCharType="begin"/>
            </w:r>
            <w:r w:rsidR="009138A4">
              <w:rPr>
                <w:noProof/>
                <w:webHidden/>
              </w:rPr>
              <w:instrText xml:space="preserve"> PAGEREF _Toc496413375 \h </w:instrText>
            </w:r>
            <w:r w:rsidR="009138A4">
              <w:rPr>
                <w:noProof/>
                <w:webHidden/>
              </w:rPr>
            </w:r>
            <w:r w:rsidR="009138A4">
              <w:rPr>
                <w:noProof/>
                <w:webHidden/>
              </w:rPr>
              <w:fldChar w:fldCharType="separate"/>
            </w:r>
            <w:r w:rsidR="00446463">
              <w:rPr>
                <w:noProof/>
                <w:webHidden/>
              </w:rPr>
              <w:t>33</w:t>
            </w:r>
            <w:r w:rsidR="009138A4">
              <w:rPr>
                <w:noProof/>
                <w:webHidden/>
              </w:rPr>
              <w:fldChar w:fldCharType="end"/>
            </w:r>
          </w:hyperlink>
        </w:p>
        <w:p w14:paraId="0C3B4FB5" w14:textId="144DB1EA" w:rsidR="009138A4" w:rsidRDefault="00D6421B">
          <w:pPr>
            <w:pStyle w:val="TOC1"/>
            <w:tabs>
              <w:tab w:val="right" w:leader="dot" w:pos="9350"/>
            </w:tabs>
            <w:rPr>
              <w:rFonts w:asciiTheme="minorHAnsi" w:eastAsiaTheme="minorEastAsia" w:hAnsiTheme="minorHAnsi" w:cstheme="minorBidi"/>
              <w:noProof/>
              <w:lang w:val="en-US"/>
            </w:rPr>
          </w:pPr>
          <w:hyperlink w:anchor="_Toc496413376" w:history="1">
            <w:r w:rsidR="009138A4" w:rsidRPr="00666DA1">
              <w:rPr>
                <w:rStyle w:val="Hyperlink"/>
                <w:noProof/>
                <w:lang w:val="bs-Latn-BA"/>
              </w:rPr>
              <w:t>V Sektorski razvojni planovi</w:t>
            </w:r>
            <w:r w:rsidR="009138A4">
              <w:rPr>
                <w:noProof/>
                <w:webHidden/>
              </w:rPr>
              <w:tab/>
            </w:r>
            <w:r w:rsidR="009138A4">
              <w:rPr>
                <w:noProof/>
                <w:webHidden/>
              </w:rPr>
              <w:fldChar w:fldCharType="begin"/>
            </w:r>
            <w:r w:rsidR="009138A4">
              <w:rPr>
                <w:noProof/>
                <w:webHidden/>
              </w:rPr>
              <w:instrText xml:space="preserve"> PAGEREF _Toc496413376 \h </w:instrText>
            </w:r>
            <w:r w:rsidR="009138A4">
              <w:rPr>
                <w:noProof/>
                <w:webHidden/>
              </w:rPr>
            </w:r>
            <w:r w:rsidR="009138A4">
              <w:rPr>
                <w:noProof/>
                <w:webHidden/>
              </w:rPr>
              <w:fldChar w:fldCharType="separate"/>
            </w:r>
            <w:r w:rsidR="00446463">
              <w:rPr>
                <w:noProof/>
                <w:webHidden/>
              </w:rPr>
              <w:t>35</w:t>
            </w:r>
            <w:r w:rsidR="009138A4">
              <w:rPr>
                <w:noProof/>
                <w:webHidden/>
              </w:rPr>
              <w:fldChar w:fldCharType="end"/>
            </w:r>
          </w:hyperlink>
        </w:p>
        <w:p w14:paraId="5A6D973D" w14:textId="7526440A" w:rsidR="009138A4" w:rsidRDefault="00D6421B">
          <w:pPr>
            <w:pStyle w:val="TOC2"/>
            <w:tabs>
              <w:tab w:val="right" w:leader="dot" w:pos="9350"/>
            </w:tabs>
            <w:rPr>
              <w:rFonts w:asciiTheme="minorHAnsi" w:eastAsiaTheme="minorEastAsia" w:hAnsiTheme="minorHAnsi" w:cstheme="minorBidi"/>
              <w:noProof/>
              <w:lang w:val="en-US"/>
            </w:rPr>
          </w:pPr>
          <w:hyperlink w:anchor="_Toc496413377" w:history="1">
            <w:r w:rsidR="009138A4" w:rsidRPr="00666DA1">
              <w:rPr>
                <w:rStyle w:val="Hyperlink"/>
                <w:noProof/>
              </w:rPr>
              <w:t>V.1. Usklađenost, komplementarnost i međusobni uticaj sektorskih planova</w:t>
            </w:r>
            <w:r w:rsidR="009138A4">
              <w:rPr>
                <w:noProof/>
                <w:webHidden/>
              </w:rPr>
              <w:tab/>
            </w:r>
            <w:r w:rsidR="009138A4">
              <w:rPr>
                <w:noProof/>
                <w:webHidden/>
              </w:rPr>
              <w:fldChar w:fldCharType="begin"/>
            </w:r>
            <w:r w:rsidR="009138A4">
              <w:rPr>
                <w:noProof/>
                <w:webHidden/>
              </w:rPr>
              <w:instrText xml:space="preserve"> PAGEREF _Toc496413377 \h </w:instrText>
            </w:r>
            <w:r w:rsidR="009138A4">
              <w:rPr>
                <w:noProof/>
                <w:webHidden/>
              </w:rPr>
            </w:r>
            <w:r w:rsidR="009138A4">
              <w:rPr>
                <w:noProof/>
                <w:webHidden/>
              </w:rPr>
              <w:fldChar w:fldCharType="separate"/>
            </w:r>
            <w:r w:rsidR="00446463">
              <w:rPr>
                <w:noProof/>
                <w:webHidden/>
              </w:rPr>
              <w:t>35</w:t>
            </w:r>
            <w:r w:rsidR="009138A4">
              <w:rPr>
                <w:noProof/>
                <w:webHidden/>
              </w:rPr>
              <w:fldChar w:fldCharType="end"/>
            </w:r>
          </w:hyperlink>
        </w:p>
        <w:p w14:paraId="394FD9C0" w14:textId="3838DCB1" w:rsidR="009138A4" w:rsidRDefault="00D6421B">
          <w:pPr>
            <w:pStyle w:val="TOC2"/>
            <w:tabs>
              <w:tab w:val="left" w:pos="880"/>
              <w:tab w:val="right" w:leader="dot" w:pos="9350"/>
            </w:tabs>
            <w:rPr>
              <w:rFonts w:asciiTheme="minorHAnsi" w:eastAsiaTheme="minorEastAsia" w:hAnsiTheme="minorHAnsi" w:cstheme="minorBidi"/>
              <w:noProof/>
              <w:lang w:val="en-US"/>
            </w:rPr>
          </w:pPr>
          <w:hyperlink w:anchor="_Toc496413378" w:history="1">
            <w:r w:rsidR="009138A4" w:rsidRPr="00666DA1">
              <w:rPr>
                <w:rStyle w:val="Hyperlink"/>
                <w:noProof/>
              </w:rPr>
              <w:t>V.2.</w:t>
            </w:r>
            <w:r w:rsidR="009138A4">
              <w:rPr>
                <w:rFonts w:asciiTheme="minorHAnsi" w:eastAsiaTheme="minorEastAsia" w:hAnsiTheme="minorHAnsi" w:cstheme="minorBidi"/>
                <w:noProof/>
                <w:lang w:val="en-US"/>
              </w:rPr>
              <w:tab/>
            </w:r>
            <w:r w:rsidR="009138A4" w:rsidRPr="00666DA1">
              <w:rPr>
                <w:rStyle w:val="Hyperlink"/>
                <w:noProof/>
              </w:rPr>
              <w:t>Plan lokalnog ekonomskog razvoja</w:t>
            </w:r>
            <w:r w:rsidR="009138A4">
              <w:rPr>
                <w:noProof/>
                <w:webHidden/>
              </w:rPr>
              <w:tab/>
            </w:r>
            <w:r w:rsidR="009138A4">
              <w:rPr>
                <w:noProof/>
                <w:webHidden/>
              </w:rPr>
              <w:fldChar w:fldCharType="begin"/>
            </w:r>
            <w:r w:rsidR="009138A4">
              <w:rPr>
                <w:noProof/>
                <w:webHidden/>
              </w:rPr>
              <w:instrText xml:space="preserve"> PAGEREF _Toc496413378 \h </w:instrText>
            </w:r>
            <w:r w:rsidR="009138A4">
              <w:rPr>
                <w:noProof/>
                <w:webHidden/>
              </w:rPr>
            </w:r>
            <w:r w:rsidR="009138A4">
              <w:rPr>
                <w:noProof/>
                <w:webHidden/>
              </w:rPr>
              <w:fldChar w:fldCharType="separate"/>
            </w:r>
            <w:r w:rsidR="00446463">
              <w:rPr>
                <w:noProof/>
                <w:webHidden/>
              </w:rPr>
              <w:t>35</w:t>
            </w:r>
            <w:r w:rsidR="009138A4">
              <w:rPr>
                <w:noProof/>
                <w:webHidden/>
              </w:rPr>
              <w:fldChar w:fldCharType="end"/>
            </w:r>
          </w:hyperlink>
        </w:p>
        <w:p w14:paraId="47616561" w14:textId="7D85E6CB" w:rsidR="009138A4" w:rsidRDefault="00D6421B">
          <w:pPr>
            <w:pStyle w:val="TOC3"/>
            <w:tabs>
              <w:tab w:val="left" w:pos="1320"/>
              <w:tab w:val="right" w:leader="dot" w:pos="9350"/>
            </w:tabs>
            <w:rPr>
              <w:rFonts w:asciiTheme="minorHAnsi" w:eastAsiaTheme="minorEastAsia" w:hAnsiTheme="minorHAnsi" w:cstheme="minorBidi"/>
              <w:noProof/>
              <w:lang w:val="en-US"/>
            </w:rPr>
          </w:pPr>
          <w:hyperlink w:anchor="_Toc496413379" w:history="1">
            <w:r w:rsidR="009138A4" w:rsidRPr="00666DA1">
              <w:rPr>
                <w:rStyle w:val="Hyperlink"/>
                <w:noProof/>
              </w:rPr>
              <w:t>V.2.1.</w:t>
            </w:r>
            <w:r w:rsidR="009138A4">
              <w:rPr>
                <w:rFonts w:asciiTheme="minorHAnsi" w:eastAsiaTheme="minorEastAsia" w:hAnsiTheme="minorHAnsi" w:cstheme="minorBidi"/>
                <w:noProof/>
                <w:lang w:val="en-US"/>
              </w:rPr>
              <w:tab/>
            </w:r>
            <w:r w:rsidR="009138A4" w:rsidRPr="00666DA1">
              <w:rPr>
                <w:rStyle w:val="Hyperlink"/>
                <w:noProof/>
              </w:rPr>
              <w:t>Pregled sektorskih ciljeva sa očekivanim ishodima i indikatorima</w:t>
            </w:r>
            <w:r w:rsidR="009138A4">
              <w:rPr>
                <w:noProof/>
                <w:webHidden/>
              </w:rPr>
              <w:tab/>
            </w:r>
            <w:r w:rsidR="009138A4">
              <w:rPr>
                <w:noProof/>
                <w:webHidden/>
              </w:rPr>
              <w:fldChar w:fldCharType="begin"/>
            </w:r>
            <w:r w:rsidR="009138A4">
              <w:rPr>
                <w:noProof/>
                <w:webHidden/>
              </w:rPr>
              <w:instrText xml:space="preserve"> PAGEREF _Toc496413379 \h </w:instrText>
            </w:r>
            <w:r w:rsidR="009138A4">
              <w:rPr>
                <w:noProof/>
                <w:webHidden/>
              </w:rPr>
            </w:r>
            <w:r w:rsidR="009138A4">
              <w:rPr>
                <w:noProof/>
                <w:webHidden/>
              </w:rPr>
              <w:fldChar w:fldCharType="separate"/>
            </w:r>
            <w:r w:rsidR="00446463">
              <w:rPr>
                <w:noProof/>
                <w:webHidden/>
              </w:rPr>
              <w:t>35</w:t>
            </w:r>
            <w:r w:rsidR="009138A4">
              <w:rPr>
                <w:noProof/>
                <w:webHidden/>
              </w:rPr>
              <w:fldChar w:fldCharType="end"/>
            </w:r>
          </w:hyperlink>
        </w:p>
        <w:p w14:paraId="7E7B10C7" w14:textId="4B60CAA6" w:rsidR="009138A4" w:rsidRDefault="00D6421B">
          <w:pPr>
            <w:pStyle w:val="TOC3"/>
            <w:tabs>
              <w:tab w:val="right" w:leader="dot" w:pos="9350"/>
            </w:tabs>
            <w:rPr>
              <w:rFonts w:asciiTheme="minorHAnsi" w:eastAsiaTheme="minorEastAsia" w:hAnsiTheme="minorHAnsi" w:cstheme="minorBidi"/>
              <w:noProof/>
              <w:lang w:val="en-US"/>
            </w:rPr>
          </w:pPr>
          <w:hyperlink w:anchor="_Toc496413380" w:history="1">
            <w:r w:rsidR="009138A4" w:rsidRPr="00666DA1">
              <w:rPr>
                <w:rStyle w:val="Hyperlink"/>
                <w:rFonts w:eastAsia="TTE1FFBE00t00"/>
                <w:noProof/>
              </w:rPr>
              <w:t>V.2.2. Usklađenost sa strateškim dokumentima viših nivoa</w:t>
            </w:r>
            <w:r w:rsidR="009138A4">
              <w:rPr>
                <w:noProof/>
                <w:webHidden/>
              </w:rPr>
              <w:tab/>
            </w:r>
            <w:r w:rsidR="009138A4">
              <w:rPr>
                <w:noProof/>
                <w:webHidden/>
              </w:rPr>
              <w:fldChar w:fldCharType="begin"/>
            </w:r>
            <w:r w:rsidR="009138A4">
              <w:rPr>
                <w:noProof/>
                <w:webHidden/>
              </w:rPr>
              <w:instrText xml:space="preserve"> PAGEREF _Toc496413380 \h </w:instrText>
            </w:r>
            <w:r w:rsidR="009138A4">
              <w:rPr>
                <w:noProof/>
                <w:webHidden/>
              </w:rPr>
            </w:r>
            <w:r w:rsidR="009138A4">
              <w:rPr>
                <w:noProof/>
                <w:webHidden/>
              </w:rPr>
              <w:fldChar w:fldCharType="separate"/>
            </w:r>
            <w:r w:rsidR="00446463">
              <w:rPr>
                <w:noProof/>
                <w:webHidden/>
              </w:rPr>
              <w:t>36</w:t>
            </w:r>
            <w:r w:rsidR="009138A4">
              <w:rPr>
                <w:noProof/>
                <w:webHidden/>
              </w:rPr>
              <w:fldChar w:fldCharType="end"/>
            </w:r>
          </w:hyperlink>
        </w:p>
        <w:p w14:paraId="523F9AA1" w14:textId="1CAE99DC" w:rsidR="009138A4" w:rsidRDefault="00D6421B">
          <w:pPr>
            <w:pStyle w:val="TOC3"/>
            <w:tabs>
              <w:tab w:val="right" w:leader="dot" w:pos="9350"/>
            </w:tabs>
            <w:rPr>
              <w:rFonts w:asciiTheme="minorHAnsi" w:eastAsiaTheme="minorEastAsia" w:hAnsiTheme="minorHAnsi" w:cstheme="minorBidi"/>
              <w:noProof/>
              <w:lang w:val="en-US"/>
            </w:rPr>
          </w:pPr>
          <w:hyperlink w:anchor="_Toc496413381" w:history="1">
            <w:r w:rsidR="009138A4" w:rsidRPr="00666DA1">
              <w:rPr>
                <w:rStyle w:val="Hyperlink"/>
                <w:noProof/>
              </w:rPr>
              <w:t>V.2.3. Inicijative međuopštinske saradnje</w:t>
            </w:r>
            <w:r w:rsidR="009138A4">
              <w:rPr>
                <w:noProof/>
                <w:webHidden/>
              </w:rPr>
              <w:tab/>
            </w:r>
            <w:r w:rsidR="009138A4">
              <w:rPr>
                <w:noProof/>
                <w:webHidden/>
              </w:rPr>
              <w:fldChar w:fldCharType="begin"/>
            </w:r>
            <w:r w:rsidR="009138A4">
              <w:rPr>
                <w:noProof/>
                <w:webHidden/>
              </w:rPr>
              <w:instrText xml:space="preserve"> PAGEREF _Toc496413381 \h </w:instrText>
            </w:r>
            <w:r w:rsidR="009138A4">
              <w:rPr>
                <w:noProof/>
                <w:webHidden/>
              </w:rPr>
            </w:r>
            <w:r w:rsidR="009138A4">
              <w:rPr>
                <w:noProof/>
                <w:webHidden/>
              </w:rPr>
              <w:fldChar w:fldCharType="separate"/>
            </w:r>
            <w:r w:rsidR="00446463">
              <w:rPr>
                <w:noProof/>
                <w:webHidden/>
              </w:rPr>
              <w:t>37</w:t>
            </w:r>
            <w:r w:rsidR="009138A4">
              <w:rPr>
                <w:noProof/>
                <w:webHidden/>
              </w:rPr>
              <w:fldChar w:fldCharType="end"/>
            </w:r>
          </w:hyperlink>
        </w:p>
        <w:p w14:paraId="6D1BE189" w14:textId="48C40CB0" w:rsidR="009138A4" w:rsidRDefault="00D6421B">
          <w:pPr>
            <w:pStyle w:val="TOC3"/>
            <w:tabs>
              <w:tab w:val="left" w:pos="1320"/>
              <w:tab w:val="right" w:leader="dot" w:pos="9350"/>
            </w:tabs>
            <w:rPr>
              <w:rFonts w:asciiTheme="minorHAnsi" w:eastAsiaTheme="minorEastAsia" w:hAnsiTheme="minorHAnsi" w:cstheme="minorBidi"/>
              <w:noProof/>
              <w:lang w:val="en-US"/>
            </w:rPr>
          </w:pPr>
          <w:hyperlink w:anchor="_Toc496413382" w:history="1">
            <w:r w:rsidR="009138A4" w:rsidRPr="00666DA1">
              <w:rPr>
                <w:rStyle w:val="Hyperlink"/>
                <w:noProof/>
              </w:rPr>
              <w:t>V.2.4.</w:t>
            </w:r>
            <w:r w:rsidR="009138A4">
              <w:rPr>
                <w:rFonts w:asciiTheme="minorHAnsi" w:eastAsiaTheme="minorEastAsia" w:hAnsiTheme="minorHAnsi" w:cstheme="minorBidi"/>
                <w:noProof/>
                <w:lang w:val="en-US"/>
              </w:rPr>
              <w:tab/>
            </w:r>
            <w:r w:rsidR="009138A4" w:rsidRPr="00666DA1">
              <w:rPr>
                <w:rStyle w:val="Hyperlink"/>
                <w:noProof/>
              </w:rPr>
              <w:t>Programi, projekti i mjere</w:t>
            </w:r>
            <w:r w:rsidR="009138A4">
              <w:rPr>
                <w:noProof/>
                <w:webHidden/>
              </w:rPr>
              <w:tab/>
            </w:r>
            <w:r w:rsidR="009138A4">
              <w:rPr>
                <w:noProof/>
                <w:webHidden/>
              </w:rPr>
              <w:fldChar w:fldCharType="begin"/>
            </w:r>
            <w:r w:rsidR="009138A4">
              <w:rPr>
                <w:noProof/>
                <w:webHidden/>
              </w:rPr>
              <w:instrText xml:space="preserve"> PAGEREF _Toc496413382 \h </w:instrText>
            </w:r>
            <w:r w:rsidR="009138A4">
              <w:rPr>
                <w:noProof/>
                <w:webHidden/>
              </w:rPr>
            </w:r>
            <w:r w:rsidR="009138A4">
              <w:rPr>
                <w:noProof/>
                <w:webHidden/>
              </w:rPr>
              <w:fldChar w:fldCharType="separate"/>
            </w:r>
            <w:r w:rsidR="00446463">
              <w:rPr>
                <w:noProof/>
                <w:webHidden/>
              </w:rPr>
              <w:t>37</w:t>
            </w:r>
            <w:r w:rsidR="009138A4">
              <w:rPr>
                <w:noProof/>
                <w:webHidden/>
              </w:rPr>
              <w:fldChar w:fldCharType="end"/>
            </w:r>
          </w:hyperlink>
        </w:p>
        <w:p w14:paraId="61A836CF" w14:textId="7AE63C1C" w:rsidR="009138A4" w:rsidRDefault="00D6421B">
          <w:pPr>
            <w:pStyle w:val="TOC2"/>
            <w:tabs>
              <w:tab w:val="left" w:pos="880"/>
              <w:tab w:val="right" w:leader="dot" w:pos="9350"/>
            </w:tabs>
            <w:rPr>
              <w:rFonts w:asciiTheme="minorHAnsi" w:eastAsiaTheme="minorEastAsia" w:hAnsiTheme="minorHAnsi" w:cstheme="minorBidi"/>
              <w:noProof/>
              <w:lang w:val="en-US"/>
            </w:rPr>
          </w:pPr>
          <w:hyperlink w:anchor="_Toc496413383" w:history="1">
            <w:r w:rsidR="009138A4" w:rsidRPr="00666DA1">
              <w:rPr>
                <w:rStyle w:val="Hyperlink"/>
                <w:noProof/>
              </w:rPr>
              <w:t>V.3.</w:t>
            </w:r>
            <w:r w:rsidR="009138A4">
              <w:rPr>
                <w:rFonts w:asciiTheme="minorHAnsi" w:eastAsiaTheme="minorEastAsia" w:hAnsiTheme="minorHAnsi" w:cstheme="minorBidi"/>
                <w:noProof/>
                <w:lang w:val="en-US"/>
              </w:rPr>
              <w:tab/>
            </w:r>
            <w:r w:rsidR="009138A4" w:rsidRPr="00666DA1">
              <w:rPr>
                <w:rStyle w:val="Hyperlink"/>
                <w:noProof/>
              </w:rPr>
              <w:t>Plan društvenog razvoja</w:t>
            </w:r>
            <w:r w:rsidR="009138A4">
              <w:rPr>
                <w:noProof/>
                <w:webHidden/>
              </w:rPr>
              <w:tab/>
            </w:r>
            <w:r w:rsidR="009138A4">
              <w:rPr>
                <w:noProof/>
                <w:webHidden/>
              </w:rPr>
              <w:fldChar w:fldCharType="begin"/>
            </w:r>
            <w:r w:rsidR="009138A4">
              <w:rPr>
                <w:noProof/>
                <w:webHidden/>
              </w:rPr>
              <w:instrText xml:space="preserve"> PAGEREF _Toc496413383 \h </w:instrText>
            </w:r>
            <w:r w:rsidR="009138A4">
              <w:rPr>
                <w:noProof/>
                <w:webHidden/>
              </w:rPr>
            </w:r>
            <w:r w:rsidR="009138A4">
              <w:rPr>
                <w:noProof/>
                <w:webHidden/>
              </w:rPr>
              <w:fldChar w:fldCharType="separate"/>
            </w:r>
            <w:r w:rsidR="00446463">
              <w:rPr>
                <w:noProof/>
                <w:webHidden/>
              </w:rPr>
              <w:t>38</w:t>
            </w:r>
            <w:r w:rsidR="009138A4">
              <w:rPr>
                <w:noProof/>
                <w:webHidden/>
              </w:rPr>
              <w:fldChar w:fldCharType="end"/>
            </w:r>
          </w:hyperlink>
        </w:p>
        <w:p w14:paraId="0D4B8EBA" w14:textId="16EF3013" w:rsidR="009138A4" w:rsidRDefault="00D6421B">
          <w:pPr>
            <w:pStyle w:val="TOC3"/>
            <w:tabs>
              <w:tab w:val="left" w:pos="1320"/>
              <w:tab w:val="right" w:leader="dot" w:pos="9350"/>
            </w:tabs>
            <w:rPr>
              <w:rFonts w:asciiTheme="minorHAnsi" w:eastAsiaTheme="minorEastAsia" w:hAnsiTheme="minorHAnsi" w:cstheme="minorBidi"/>
              <w:noProof/>
              <w:lang w:val="en-US"/>
            </w:rPr>
          </w:pPr>
          <w:hyperlink w:anchor="_Toc496413384" w:history="1">
            <w:r w:rsidR="009138A4" w:rsidRPr="00666DA1">
              <w:rPr>
                <w:rStyle w:val="Hyperlink"/>
                <w:noProof/>
              </w:rPr>
              <w:t>V.3.1.</w:t>
            </w:r>
            <w:r w:rsidR="009138A4">
              <w:rPr>
                <w:rFonts w:asciiTheme="minorHAnsi" w:eastAsiaTheme="minorEastAsia" w:hAnsiTheme="minorHAnsi" w:cstheme="minorBidi"/>
                <w:noProof/>
                <w:lang w:val="en-US"/>
              </w:rPr>
              <w:tab/>
            </w:r>
            <w:r w:rsidR="009138A4" w:rsidRPr="00666DA1">
              <w:rPr>
                <w:rStyle w:val="Hyperlink"/>
                <w:noProof/>
              </w:rPr>
              <w:t>Pregled sektorskih ciljeva sa očekivanim ishodima i indikatorima</w:t>
            </w:r>
            <w:r w:rsidR="009138A4">
              <w:rPr>
                <w:noProof/>
                <w:webHidden/>
              </w:rPr>
              <w:tab/>
            </w:r>
            <w:r w:rsidR="009138A4">
              <w:rPr>
                <w:noProof/>
                <w:webHidden/>
              </w:rPr>
              <w:fldChar w:fldCharType="begin"/>
            </w:r>
            <w:r w:rsidR="009138A4">
              <w:rPr>
                <w:noProof/>
                <w:webHidden/>
              </w:rPr>
              <w:instrText xml:space="preserve"> PAGEREF _Toc496413384 \h </w:instrText>
            </w:r>
            <w:r w:rsidR="009138A4">
              <w:rPr>
                <w:noProof/>
                <w:webHidden/>
              </w:rPr>
            </w:r>
            <w:r w:rsidR="009138A4">
              <w:rPr>
                <w:noProof/>
                <w:webHidden/>
              </w:rPr>
              <w:fldChar w:fldCharType="separate"/>
            </w:r>
            <w:r w:rsidR="00446463">
              <w:rPr>
                <w:noProof/>
                <w:webHidden/>
              </w:rPr>
              <w:t>38</w:t>
            </w:r>
            <w:r w:rsidR="009138A4">
              <w:rPr>
                <w:noProof/>
                <w:webHidden/>
              </w:rPr>
              <w:fldChar w:fldCharType="end"/>
            </w:r>
          </w:hyperlink>
        </w:p>
        <w:p w14:paraId="26AF1BC9" w14:textId="480DBE49" w:rsidR="009138A4" w:rsidRDefault="00D6421B">
          <w:pPr>
            <w:pStyle w:val="TOC3"/>
            <w:tabs>
              <w:tab w:val="right" w:leader="dot" w:pos="9350"/>
            </w:tabs>
            <w:rPr>
              <w:rFonts w:asciiTheme="minorHAnsi" w:eastAsiaTheme="minorEastAsia" w:hAnsiTheme="minorHAnsi" w:cstheme="minorBidi"/>
              <w:noProof/>
              <w:lang w:val="en-US"/>
            </w:rPr>
          </w:pPr>
          <w:hyperlink w:anchor="_Toc496413385" w:history="1">
            <w:r w:rsidR="009138A4" w:rsidRPr="00666DA1">
              <w:rPr>
                <w:rStyle w:val="Hyperlink"/>
                <w:rFonts w:eastAsia="TTE1FFBE00t00"/>
                <w:noProof/>
              </w:rPr>
              <w:t>V.3.2. Usklađenost sa strateškim dokumentima viših nivoa</w:t>
            </w:r>
            <w:r w:rsidR="009138A4">
              <w:rPr>
                <w:noProof/>
                <w:webHidden/>
              </w:rPr>
              <w:tab/>
            </w:r>
            <w:r w:rsidR="009138A4">
              <w:rPr>
                <w:noProof/>
                <w:webHidden/>
              </w:rPr>
              <w:fldChar w:fldCharType="begin"/>
            </w:r>
            <w:r w:rsidR="009138A4">
              <w:rPr>
                <w:noProof/>
                <w:webHidden/>
              </w:rPr>
              <w:instrText xml:space="preserve"> PAGEREF _Toc496413385 \h </w:instrText>
            </w:r>
            <w:r w:rsidR="009138A4">
              <w:rPr>
                <w:noProof/>
                <w:webHidden/>
              </w:rPr>
            </w:r>
            <w:r w:rsidR="009138A4">
              <w:rPr>
                <w:noProof/>
                <w:webHidden/>
              </w:rPr>
              <w:fldChar w:fldCharType="separate"/>
            </w:r>
            <w:r w:rsidR="00446463">
              <w:rPr>
                <w:noProof/>
                <w:webHidden/>
              </w:rPr>
              <w:t>39</w:t>
            </w:r>
            <w:r w:rsidR="009138A4">
              <w:rPr>
                <w:noProof/>
                <w:webHidden/>
              </w:rPr>
              <w:fldChar w:fldCharType="end"/>
            </w:r>
          </w:hyperlink>
        </w:p>
        <w:p w14:paraId="26C9B9EC" w14:textId="018AC0C3" w:rsidR="009138A4" w:rsidRDefault="00D6421B">
          <w:pPr>
            <w:pStyle w:val="TOC3"/>
            <w:tabs>
              <w:tab w:val="right" w:leader="dot" w:pos="9350"/>
            </w:tabs>
            <w:rPr>
              <w:rFonts w:asciiTheme="minorHAnsi" w:eastAsiaTheme="minorEastAsia" w:hAnsiTheme="minorHAnsi" w:cstheme="minorBidi"/>
              <w:noProof/>
              <w:lang w:val="en-US"/>
            </w:rPr>
          </w:pPr>
          <w:hyperlink w:anchor="_Toc496413386" w:history="1">
            <w:r w:rsidR="009138A4" w:rsidRPr="00666DA1">
              <w:rPr>
                <w:rStyle w:val="Hyperlink"/>
                <w:noProof/>
              </w:rPr>
              <w:t>V.3.3. Inicijative međuopštinske saradnje</w:t>
            </w:r>
            <w:r w:rsidR="009138A4">
              <w:rPr>
                <w:noProof/>
                <w:webHidden/>
              </w:rPr>
              <w:tab/>
            </w:r>
            <w:r w:rsidR="009138A4">
              <w:rPr>
                <w:noProof/>
                <w:webHidden/>
              </w:rPr>
              <w:fldChar w:fldCharType="begin"/>
            </w:r>
            <w:r w:rsidR="009138A4">
              <w:rPr>
                <w:noProof/>
                <w:webHidden/>
              </w:rPr>
              <w:instrText xml:space="preserve"> PAGEREF _Toc496413386 \h </w:instrText>
            </w:r>
            <w:r w:rsidR="009138A4">
              <w:rPr>
                <w:noProof/>
                <w:webHidden/>
              </w:rPr>
            </w:r>
            <w:r w:rsidR="009138A4">
              <w:rPr>
                <w:noProof/>
                <w:webHidden/>
              </w:rPr>
              <w:fldChar w:fldCharType="separate"/>
            </w:r>
            <w:r w:rsidR="00446463">
              <w:rPr>
                <w:noProof/>
                <w:webHidden/>
              </w:rPr>
              <w:t>39</w:t>
            </w:r>
            <w:r w:rsidR="009138A4">
              <w:rPr>
                <w:noProof/>
                <w:webHidden/>
              </w:rPr>
              <w:fldChar w:fldCharType="end"/>
            </w:r>
          </w:hyperlink>
        </w:p>
        <w:p w14:paraId="23EE6CA6" w14:textId="400F45E0" w:rsidR="009138A4" w:rsidRDefault="00D6421B">
          <w:pPr>
            <w:pStyle w:val="TOC3"/>
            <w:tabs>
              <w:tab w:val="left" w:pos="1320"/>
              <w:tab w:val="right" w:leader="dot" w:pos="9350"/>
            </w:tabs>
            <w:rPr>
              <w:rFonts w:asciiTheme="minorHAnsi" w:eastAsiaTheme="minorEastAsia" w:hAnsiTheme="minorHAnsi" w:cstheme="minorBidi"/>
              <w:noProof/>
              <w:lang w:val="en-US"/>
            </w:rPr>
          </w:pPr>
          <w:hyperlink w:anchor="_Toc496413387" w:history="1">
            <w:r w:rsidR="009138A4" w:rsidRPr="00666DA1">
              <w:rPr>
                <w:rStyle w:val="Hyperlink"/>
                <w:noProof/>
              </w:rPr>
              <w:t>V.3.4.</w:t>
            </w:r>
            <w:r w:rsidR="009138A4">
              <w:rPr>
                <w:rFonts w:asciiTheme="minorHAnsi" w:eastAsiaTheme="minorEastAsia" w:hAnsiTheme="minorHAnsi" w:cstheme="minorBidi"/>
                <w:noProof/>
                <w:lang w:val="en-US"/>
              </w:rPr>
              <w:tab/>
            </w:r>
            <w:r w:rsidR="009138A4" w:rsidRPr="00666DA1">
              <w:rPr>
                <w:rStyle w:val="Hyperlink"/>
                <w:noProof/>
              </w:rPr>
              <w:t>Programi, projekti i mjere</w:t>
            </w:r>
            <w:r w:rsidR="009138A4">
              <w:rPr>
                <w:noProof/>
                <w:webHidden/>
              </w:rPr>
              <w:tab/>
            </w:r>
            <w:r w:rsidR="009138A4">
              <w:rPr>
                <w:noProof/>
                <w:webHidden/>
              </w:rPr>
              <w:fldChar w:fldCharType="begin"/>
            </w:r>
            <w:r w:rsidR="009138A4">
              <w:rPr>
                <w:noProof/>
                <w:webHidden/>
              </w:rPr>
              <w:instrText xml:space="preserve"> PAGEREF _Toc496413387 \h </w:instrText>
            </w:r>
            <w:r w:rsidR="009138A4">
              <w:rPr>
                <w:noProof/>
                <w:webHidden/>
              </w:rPr>
            </w:r>
            <w:r w:rsidR="009138A4">
              <w:rPr>
                <w:noProof/>
                <w:webHidden/>
              </w:rPr>
              <w:fldChar w:fldCharType="separate"/>
            </w:r>
            <w:r w:rsidR="00446463">
              <w:rPr>
                <w:noProof/>
                <w:webHidden/>
              </w:rPr>
              <w:t>39</w:t>
            </w:r>
            <w:r w:rsidR="009138A4">
              <w:rPr>
                <w:noProof/>
                <w:webHidden/>
              </w:rPr>
              <w:fldChar w:fldCharType="end"/>
            </w:r>
          </w:hyperlink>
        </w:p>
        <w:p w14:paraId="0CCAF4F3" w14:textId="031D3867" w:rsidR="009138A4" w:rsidRDefault="00D6421B">
          <w:pPr>
            <w:pStyle w:val="TOC2"/>
            <w:tabs>
              <w:tab w:val="left" w:pos="880"/>
              <w:tab w:val="right" w:leader="dot" w:pos="9350"/>
            </w:tabs>
            <w:rPr>
              <w:rFonts w:asciiTheme="minorHAnsi" w:eastAsiaTheme="minorEastAsia" w:hAnsiTheme="minorHAnsi" w:cstheme="minorBidi"/>
              <w:noProof/>
              <w:lang w:val="en-US"/>
            </w:rPr>
          </w:pPr>
          <w:hyperlink w:anchor="_Toc496413388" w:history="1">
            <w:r w:rsidR="009138A4" w:rsidRPr="00666DA1">
              <w:rPr>
                <w:rStyle w:val="Hyperlink"/>
                <w:noProof/>
              </w:rPr>
              <w:t>V.4.</w:t>
            </w:r>
            <w:r w:rsidR="009138A4">
              <w:rPr>
                <w:rFonts w:asciiTheme="minorHAnsi" w:eastAsiaTheme="minorEastAsia" w:hAnsiTheme="minorHAnsi" w:cstheme="minorBidi"/>
                <w:noProof/>
                <w:lang w:val="en-US"/>
              </w:rPr>
              <w:tab/>
            </w:r>
            <w:r w:rsidR="009138A4" w:rsidRPr="00666DA1">
              <w:rPr>
                <w:rStyle w:val="Hyperlink"/>
                <w:noProof/>
              </w:rPr>
              <w:t>Plan zaštite životne sredine</w:t>
            </w:r>
            <w:r w:rsidR="009138A4">
              <w:rPr>
                <w:noProof/>
                <w:webHidden/>
              </w:rPr>
              <w:tab/>
            </w:r>
            <w:r w:rsidR="009138A4">
              <w:rPr>
                <w:noProof/>
                <w:webHidden/>
              </w:rPr>
              <w:fldChar w:fldCharType="begin"/>
            </w:r>
            <w:r w:rsidR="009138A4">
              <w:rPr>
                <w:noProof/>
                <w:webHidden/>
              </w:rPr>
              <w:instrText xml:space="preserve"> PAGEREF _Toc496413388 \h </w:instrText>
            </w:r>
            <w:r w:rsidR="009138A4">
              <w:rPr>
                <w:noProof/>
                <w:webHidden/>
              </w:rPr>
            </w:r>
            <w:r w:rsidR="009138A4">
              <w:rPr>
                <w:noProof/>
                <w:webHidden/>
              </w:rPr>
              <w:fldChar w:fldCharType="separate"/>
            </w:r>
            <w:r w:rsidR="00446463">
              <w:rPr>
                <w:noProof/>
                <w:webHidden/>
              </w:rPr>
              <w:t>40</w:t>
            </w:r>
            <w:r w:rsidR="009138A4">
              <w:rPr>
                <w:noProof/>
                <w:webHidden/>
              </w:rPr>
              <w:fldChar w:fldCharType="end"/>
            </w:r>
          </w:hyperlink>
        </w:p>
        <w:p w14:paraId="6123BD2E" w14:textId="76458C56" w:rsidR="009138A4" w:rsidRDefault="00D6421B">
          <w:pPr>
            <w:pStyle w:val="TOC3"/>
            <w:tabs>
              <w:tab w:val="left" w:pos="1320"/>
              <w:tab w:val="right" w:leader="dot" w:pos="9350"/>
            </w:tabs>
            <w:rPr>
              <w:rFonts w:asciiTheme="minorHAnsi" w:eastAsiaTheme="minorEastAsia" w:hAnsiTheme="minorHAnsi" w:cstheme="minorBidi"/>
              <w:noProof/>
              <w:lang w:val="en-US"/>
            </w:rPr>
          </w:pPr>
          <w:hyperlink w:anchor="_Toc496413389" w:history="1">
            <w:r w:rsidR="009138A4" w:rsidRPr="00666DA1">
              <w:rPr>
                <w:rStyle w:val="Hyperlink"/>
                <w:noProof/>
                <w:lang w:val="bs-Latn-BA"/>
              </w:rPr>
              <w:t>V.4.1.</w:t>
            </w:r>
            <w:r w:rsidR="009138A4">
              <w:rPr>
                <w:rFonts w:asciiTheme="minorHAnsi" w:eastAsiaTheme="minorEastAsia" w:hAnsiTheme="minorHAnsi" w:cstheme="minorBidi"/>
                <w:noProof/>
                <w:lang w:val="en-US"/>
              </w:rPr>
              <w:tab/>
            </w:r>
            <w:r w:rsidR="009138A4" w:rsidRPr="00666DA1">
              <w:rPr>
                <w:rStyle w:val="Hyperlink"/>
                <w:noProof/>
                <w:lang w:val="bs-Latn-BA"/>
              </w:rPr>
              <w:t>Pregled sektorskih ciljeva sa očekivanim ishodima i indikatorima</w:t>
            </w:r>
            <w:r w:rsidR="009138A4">
              <w:rPr>
                <w:noProof/>
                <w:webHidden/>
              </w:rPr>
              <w:tab/>
            </w:r>
            <w:r w:rsidR="009138A4">
              <w:rPr>
                <w:noProof/>
                <w:webHidden/>
              </w:rPr>
              <w:fldChar w:fldCharType="begin"/>
            </w:r>
            <w:r w:rsidR="009138A4">
              <w:rPr>
                <w:noProof/>
                <w:webHidden/>
              </w:rPr>
              <w:instrText xml:space="preserve"> PAGEREF _Toc496413389 \h </w:instrText>
            </w:r>
            <w:r w:rsidR="009138A4">
              <w:rPr>
                <w:noProof/>
                <w:webHidden/>
              </w:rPr>
            </w:r>
            <w:r w:rsidR="009138A4">
              <w:rPr>
                <w:noProof/>
                <w:webHidden/>
              </w:rPr>
              <w:fldChar w:fldCharType="separate"/>
            </w:r>
            <w:r w:rsidR="00446463">
              <w:rPr>
                <w:noProof/>
                <w:webHidden/>
              </w:rPr>
              <w:t>40</w:t>
            </w:r>
            <w:r w:rsidR="009138A4">
              <w:rPr>
                <w:noProof/>
                <w:webHidden/>
              </w:rPr>
              <w:fldChar w:fldCharType="end"/>
            </w:r>
          </w:hyperlink>
        </w:p>
        <w:p w14:paraId="331D82AD" w14:textId="75C63FB0" w:rsidR="009138A4" w:rsidRDefault="00D6421B">
          <w:pPr>
            <w:pStyle w:val="TOC3"/>
            <w:tabs>
              <w:tab w:val="right" w:leader="dot" w:pos="9350"/>
            </w:tabs>
            <w:rPr>
              <w:rFonts w:asciiTheme="minorHAnsi" w:eastAsiaTheme="minorEastAsia" w:hAnsiTheme="minorHAnsi" w:cstheme="minorBidi"/>
              <w:noProof/>
              <w:lang w:val="en-US"/>
            </w:rPr>
          </w:pPr>
          <w:hyperlink w:anchor="_Toc496413390" w:history="1">
            <w:r w:rsidR="009138A4" w:rsidRPr="00666DA1">
              <w:rPr>
                <w:rStyle w:val="Hyperlink"/>
                <w:rFonts w:eastAsia="TTE1FFBE00t00"/>
                <w:noProof/>
              </w:rPr>
              <w:t>V.4.2. Usklađenost sa strateškim dokumentima viših nivoa</w:t>
            </w:r>
            <w:r w:rsidR="009138A4">
              <w:rPr>
                <w:noProof/>
                <w:webHidden/>
              </w:rPr>
              <w:tab/>
            </w:r>
            <w:r w:rsidR="009138A4">
              <w:rPr>
                <w:noProof/>
                <w:webHidden/>
              </w:rPr>
              <w:fldChar w:fldCharType="begin"/>
            </w:r>
            <w:r w:rsidR="009138A4">
              <w:rPr>
                <w:noProof/>
                <w:webHidden/>
              </w:rPr>
              <w:instrText xml:space="preserve"> PAGEREF _Toc496413390 \h </w:instrText>
            </w:r>
            <w:r w:rsidR="009138A4">
              <w:rPr>
                <w:noProof/>
                <w:webHidden/>
              </w:rPr>
            </w:r>
            <w:r w:rsidR="009138A4">
              <w:rPr>
                <w:noProof/>
                <w:webHidden/>
              </w:rPr>
              <w:fldChar w:fldCharType="separate"/>
            </w:r>
            <w:r w:rsidR="00446463">
              <w:rPr>
                <w:noProof/>
                <w:webHidden/>
              </w:rPr>
              <w:t>41</w:t>
            </w:r>
            <w:r w:rsidR="009138A4">
              <w:rPr>
                <w:noProof/>
                <w:webHidden/>
              </w:rPr>
              <w:fldChar w:fldCharType="end"/>
            </w:r>
          </w:hyperlink>
        </w:p>
        <w:p w14:paraId="0E2AEF15" w14:textId="0CF968F1" w:rsidR="009138A4" w:rsidRDefault="00D6421B">
          <w:pPr>
            <w:pStyle w:val="TOC3"/>
            <w:tabs>
              <w:tab w:val="right" w:leader="dot" w:pos="9350"/>
            </w:tabs>
            <w:rPr>
              <w:rFonts w:asciiTheme="minorHAnsi" w:eastAsiaTheme="minorEastAsia" w:hAnsiTheme="minorHAnsi" w:cstheme="minorBidi"/>
              <w:noProof/>
              <w:lang w:val="en-US"/>
            </w:rPr>
          </w:pPr>
          <w:hyperlink w:anchor="_Toc496413391" w:history="1">
            <w:r w:rsidR="009138A4" w:rsidRPr="00666DA1">
              <w:rPr>
                <w:rStyle w:val="Hyperlink"/>
                <w:noProof/>
              </w:rPr>
              <w:t>V.4.3. Inicijative međuopštinske saradnje</w:t>
            </w:r>
            <w:r w:rsidR="009138A4">
              <w:rPr>
                <w:noProof/>
                <w:webHidden/>
              </w:rPr>
              <w:tab/>
            </w:r>
            <w:r w:rsidR="009138A4">
              <w:rPr>
                <w:noProof/>
                <w:webHidden/>
              </w:rPr>
              <w:fldChar w:fldCharType="begin"/>
            </w:r>
            <w:r w:rsidR="009138A4">
              <w:rPr>
                <w:noProof/>
                <w:webHidden/>
              </w:rPr>
              <w:instrText xml:space="preserve"> PAGEREF _Toc496413391 \h </w:instrText>
            </w:r>
            <w:r w:rsidR="009138A4">
              <w:rPr>
                <w:noProof/>
                <w:webHidden/>
              </w:rPr>
            </w:r>
            <w:r w:rsidR="009138A4">
              <w:rPr>
                <w:noProof/>
                <w:webHidden/>
              </w:rPr>
              <w:fldChar w:fldCharType="separate"/>
            </w:r>
            <w:r w:rsidR="00446463">
              <w:rPr>
                <w:noProof/>
                <w:webHidden/>
              </w:rPr>
              <w:t>41</w:t>
            </w:r>
            <w:r w:rsidR="009138A4">
              <w:rPr>
                <w:noProof/>
                <w:webHidden/>
              </w:rPr>
              <w:fldChar w:fldCharType="end"/>
            </w:r>
          </w:hyperlink>
        </w:p>
        <w:p w14:paraId="2022B001" w14:textId="41FBCE09" w:rsidR="009138A4" w:rsidRDefault="00D6421B">
          <w:pPr>
            <w:pStyle w:val="TOC3"/>
            <w:tabs>
              <w:tab w:val="left" w:pos="1320"/>
              <w:tab w:val="right" w:leader="dot" w:pos="9350"/>
            </w:tabs>
            <w:rPr>
              <w:rFonts w:asciiTheme="minorHAnsi" w:eastAsiaTheme="minorEastAsia" w:hAnsiTheme="minorHAnsi" w:cstheme="minorBidi"/>
              <w:noProof/>
              <w:lang w:val="en-US"/>
            </w:rPr>
          </w:pPr>
          <w:hyperlink w:anchor="_Toc496413392" w:history="1">
            <w:r w:rsidR="009138A4" w:rsidRPr="00666DA1">
              <w:rPr>
                <w:rStyle w:val="Hyperlink"/>
                <w:noProof/>
                <w:lang w:val="bs-Latn-BA"/>
              </w:rPr>
              <w:t>V.4.4.</w:t>
            </w:r>
            <w:r w:rsidR="009138A4">
              <w:rPr>
                <w:rFonts w:asciiTheme="minorHAnsi" w:eastAsiaTheme="minorEastAsia" w:hAnsiTheme="minorHAnsi" w:cstheme="minorBidi"/>
                <w:noProof/>
                <w:lang w:val="en-US"/>
              </w:rPr>
              <w:tab/>
            </w:r>
            <w:r w:rsidR="009138A4" w:rsidRPr="00666DA1">
              <w:rPr>
                <w:rStyle w:val="Hyperlink"/>
                <w:noProof/>
                <w:lang w:val="bs-Latn-BA"/>
              </w:rPr>
              <w:t>Programi, projekti i mjere</w:t>
            </w:r>
            <w:r w:rsidR="009138A4">
              <w:rPr>
                <w:noProof/>
                <w:webHidden/>
              </w:rPr>
              <w:tab/>
            </w:r>
            <w:r w:rsidR="009138A4">
              <w:rPr>
                <w:noProof/>
                <w:webHidden/>
              </w:rPr>
              <w:fldChar w:fldCharType="begin"/>
            </w:r>
            <w:r w:rsidR="009138A4">
              <w:rPr>
                <w:noProof/>
                <w:webHidden/>
              </w:rPr>
              <w:instrText xml:space="preserve"> PAGEREF _Toc496413392 \h </w:instrText>
            </w:r>
            <w:r w:rsidR="009138A4">
              <w:rPr>
                <w:noProof/>
                <w:webHidden/>
              </w:rPr>
            </w:r>
            <w:r w:rsidR="009138A4">
              <w:rPr>
                <w:noProof/>
                <w:webHidden/>
              </w:rPr>
              <w:fldChar w:fldCharType="separate"/>
            </w:r>
            <w:r w:rsidR="00446463">
              <w:rPr>
                <w:noProof/>
                <w:webHidden/>
              </w:rPr>
              <w:t>41</w:t>
            </w:r>
            <w:r w:rsidR="009138A4">
              <w:rPr>
                <w:noProof/>
                <w:webHidden/>
              </w:rPr>
              <w:fldChar w:fldCharType="end"/>
            </w:r>
          </w:hyperlink>
        </w:p>
        <w:p w14:paraId="6DC6D2C1" w14:textId="47F86128" w:rsidR="009138A4" w:rsidRDefault="00D6421B">
          <w:pPr>
            <w:pStyle w:val="TOC1"/>
            <w:tabs>
              <w:tab w:val="right" w:leader="dot" w:pos="9350"/>
            </w:tabs>
            <w:rPr>
              <w:rFonts w:asciiTheme="minorHAnsi" w:eastAsiaTheme="minorEastAsia" w:hAnsiTheme="minorHAnsi" w:cstheme="minorBidi"/>
              <w:noProof/>
              <w:lang w:val="en-US"/>
            </w:rPr>
          </w:pPr>
          <w:hyperlink w:anchor="_Toc496413393" w:history="1">
            <w:r w:rsidR="009138A4" w:rsidRPr="00666DA1">
              <w:rPr>
                <w:rStyle w:val="Hyperlink"/>
                <w:noProof/>
                <w:lang w:val="bs-Latn-BA"/>
              </w:rPr>
              <w:t>VI. Operativni dio</w:t>
            </w:r>
            <w:r w:rsidR="009138A4">
              <w:rPr>
                <w:noProof/>
                <w:webHidden/>
              </w:rPr>
              <w:tab/>
            </w:r>
            <w:r w:rsidR="009138A4">
              <w:rPr>
                <w:noProof/>
                <w:webHidden/>
              </w:rPr>
              <w:fldChar w:fldCharType="begin"/>
            </w:r>
            <w:r w:rsidR="009138A4">
              <w:rPr>
                <w:noProof/>
                <w:webHidden/>
              </w:rPr>
              <w:instrText xml:space="preserve"> PAGEREF _Toc496413393 \h </w:instrText>
            </w:r>
            <w:r w:rsidR="009138A4">
              <w:rPr>
                <w:noProof/>
                <w:webHidden/>
              </w:rPr>
            </w:r>
            <w:r w:rsidR="009138A4">
              <w:rPr>
                <w:noProof/>
                <w:webHidden/>
              </w:rPr>
              <w:fldChar w:fldCharType="separate"/>
            </w:r>
            <w:r w:rsidR="00446463">
              <w:rPr>
                <w:noProof/>
                <w:webHidden/>
              </w:rPr>
              <w:t>43</w:t>
            </w:r>
            <w:r w:rsidR="009138A4">
              <w:rPr>
                <w:noProof/>
                <w:webHidden/>
              </w:rPr>
              <w:fldChar w:fldCharType="end"/>
            </w:r>
          </w:hyperlink>
        </w:p>
        <w:p w14:paraId="7F901F62" w14:textId="45249A51" w:rsidR="009138A4" w:rsidRDefault="00D6421B">
          <w:pPr>
            <w:pStyle w:val="TOC2"/>
            <w:tabs>
              <w:tab w:val="right" w:leader="dot" w:pos="9350"/>
            </w:tabs>
            <w:rPr>
              <w:rFonts w:asciiTheme="minorHAnsi" w:eastAsiaTheme="minorEastAsia" w:hAnsiTheme="minorHAnsi" w:cstheme="minorBidi"/>
              <w:noProof/>
              <w:lang w:val="en-US"/>
            </w:rPr>
          </w:pPr>
          <w:hyperlink w:anchor="_Toc496413394" w:history="1">
            <w:r w:rsidR="009138A4" w:rsidRPr="00666DA1">
              <w:rPr>
                <w:rStyle w:val="Hyperlink"/>
                <w:noProof/>
              </w:rPr>
              <w:t>VI.1. Plan implementacije strateških projekata i mjera za 3 godine (1+2)</w:t>
            </w:r>
            <w:r w:rsidR="009138A4">
              <w:rPr>
                <w:noProof/>
                <w:webHidden/>
              </w:rPr>
              <w:tab/>
            </w:r>
            <w:r w:rsidR="009138A4">
              <w:rPr>
                <w:noProof/>
                <w:webHidden/>
              </w:rPr>
              <w:fldChar w:fldCharType="begin"/>
            </w:r>
            <w:r w:rsidR="009138A4">
              <w:rPr>
                <w:noProof/>
                <w:webHidden/>
              </w:rPr>
              <w:instrText xml:space="preserve"> PAGEREF _Toc496413394 \h </w:instrText>
            </w:r>
            <w:r w:rsidR="009138A4">
              <w:rPr>
                <w:noProof/>
                <w:webHidden/>
              </w:rPr>
            </w:r>
            <w:r w:rsidR="009138A4">
              <w:rPr>
                <w:noProof/>
                <w:webHidden/>
              </w:rPr>
              <w:fldChar w:fldCharType="separate"/>
            </w:r>
            <w:r w:rsidR="00446463">
              <w:rPr>
                <w:noProof/>
                <w:webHidden/>
              </w:rPr>
              <w:t>43</w:t>
            </w:r>
            <w:r w:rsidR="009138A4">
              <w:rPr>
                <w:noProof/>
                <w:webHidden/>
              </w:rPr>
              <w:fldChar w:fldCharType="end"/>
            </w:r>
          </w:hyperlink>
        </w:p>
        <w:p w14:paraId="5710FABF" w14:textId="3D5F859B" w:rsidR="009138A4" w:rsidRDefault="00D6421B">
          <w:pPr>
            <w:pStyle w:val="TOC2"/>
            <w:tabs>
              <w:tab w:val="right" w:leader="dot" w:pos="9350"/>
            </w:tabs>
            <w:rPr>
              <w:rFonts w:asciiTheme="minorHAnsi" w:eastAsiaTheme="minorEastAsia" w:hAnsiTheme="minorHAnsi" w:cstheme="minorBidi"/>
              <w:noProof/>
              <w:lang w:val="en-US"/>
            </w:rPr>
          </w:pPr>
          <w:hyperlink w:anchor="_Toc496413395" w:history="1">
            <w:r w:rsidR="009138A4" w:rsidRPr="00666DA1">
              <w:rPr>
                <w:rStyle w:val="Hyperlink"/>
                <w:noProof/>
              </w:rPr>
              <w:t>VI.2. Plan organizacionih i ljudskih kapaciteta  za implementaciju, praćenje i vrednovanje strategije</w:t>
            </w:r>
            <w:r w:rsidR="009138A4">
              <w:rPr>
                <w:noProof/>
                <w:webHidden/>
              </w:rPr>
              <w:tab/>
            </w:r>
            <w:r w:rsidR="009138A4">
              <w:rPr>
                <w:noProof/>
                <w:webHidden/>
              </w:rPr>
              <w:fldChar w:fldCharType="begin"/>
            </w:r>
            <w:r w:rsidR="009138A4">
              <w:rPr>
                <w:noProof/>
                <w:webHidden/>
              </w:rPr>
              <w:instrText xml:space="preserve"> PAGEREF _Toc496413395 \h </w:instrText>
            </w:r>
            <w:r w:rsidR="009138A4">
              <w:rPr>
                <w:noProof/>
                <w:webHidden/>
              </w:rPr>
            </w:r>
            <w:r w:rsidR="009138A4">
              <w:rPr>
                <w:noProof/>
                <w:webHidden/>
              </w:rPr>
              <w:fldChar w:fldCharType="separate"/>
            </w:r>
            <w:r w:rsidR="00446463">
              <w:rPr>
                <w:noProof/>
                <w:webHidden/>
              </w:rPr>
              <w:t>52</w:t>
            </w:r>
            <w:r w:rsidR="009138A4">
              <w:rPr>
                <w:noProof/>
                <w:webHidden/>
              </w:rPr>
              <w:fldChar w:fldCharType="end"/>
            </w:r>
          </w:hyperlink>
        </w:p>
        <w:p w14:paraId="41704CE0" w14:textId="7A735984" w:rsidR="009138A4" w:rsidRDefault="00D6421B">
          <w:pPr>
            <w:pStyle w:val="TOC1"/>
            <w:tabs>
              <w:tab w:val="right" w:leader="dot" w:pos="9350"/>
            </w:tabs>
            <w:rPr>
              <w:rFonts w:asciiTheme="minorHAnsi" w:eastAsiaTheme="minorEastAsia" w:hAnsiTheme="minorHAnsi" w:cstheme="minorBidi"/>
              <w:noProof/>
              <w:lang w:val="en-US"/>
            </w:rPr>
          </w:pPr>
          <w:hyperlink w:anchor="_Toc496413396" w:history="1">
            <w:r w:rsidR="009138A4" w:rsidRPr="00666DA1">
              <w:rPr>
                <w:rStyle w:val="Hyperlink"/>
                <w:noProof/>
              </w:rPr>
              <w:t>Pregled osnovnih aktivnosti i odgovornosti za implementaciju strategije</w:t>
            </w:r>
            <w:r w:rsidR="009138A4">
              <w:rPr>
                <w:noProof/>
                <w:webHidden/>
              </w:rPr>
              <w:tab/>
            </w:r>
            <w:r w:rsidR="009138A4">
              <w:rPr>
                <w:noProof/>
                <w:webHidden/>
              </w:rPr>
              <w:fldChar w:fldCharType="begin"/>
            </w:r>
            <w:r w:rsidR="009138A4">
              <w:rPr>
                <w:noProof/>
                <w:webHidden/>
              </w:rPr>
              <w:instrText xml:space="preserve"> PAGEREF _Toc496413396 \h </w:instrText>
            </w:r>
            <w:r w:rsidR="009138A4">
              <w:rPr>
                <w:noProof/>
                <w:webHidden/>
              </w:rPr>
            </w:r>
            <w:r w:rsidR="009138A4">
              <w:rPr>
                <w:noProof/>
                <w:webHidden/>
              </w:rPr>
              <w:fldChar w:fldCharType="separate"/>
            </w:r>
            <w:r w:rsidR="00446463">
              <w:rPr>
                <w:noProof/>
                <w:webHidden/>
              </w:rPr>
              <w:t>52</w:t>
            </w:r>
            <w:r w:rsidR="009138A4">
              <w:rPr>
                <w:noProof/>
                <w:webHidden/>
              </w:rPr>
              <w:fldChar w:fldCharType="end"/>
            </w:r>
          </w:hyperlink>
        </w:p>
        <w:p w14:paraId="0C41FEE7" w14:textId="7CA24749" w:rsidR="009138A4" w:rsidRDefault="00D6421B">
          <w:pPr>
            <w:pStyle w:val="TOC1"/>
            <w:tabs>
              <w:tab w:val="right" w:leader="dot" w:pos="9350"/>
            </w:tabs>
            <w:rPr>
              <w:rFonts w:asciiTheme="minorHAnsi" w:eastAsiaTheme="minorEastAsia" w:hAnsiTheme="minorHAnsi" w:cstheme="minorBidi"/>
              <w:noProof/>
              <w:lang w:val="en-US"/>
            </w:rPr>
          </w:pPr>
          <w:hyperlink w:anchor="_Toc496413397" w:history="1">
            <w:r w:rsidR="009138A4" w:rsidRPr="00666DA1">
              <w:rPr>
                <w:rStyle w:val="Hyperlink"/>
                <w:noProof/>
                <w:lang w:val="bs-Latn-BA"/>
              </w:rPr>
              <w:t>VII. Prilozi</w:t>
            </w:r>
            <w:r w:rsidR="009138A4">
              <w:rPr>
                <w:noProof/>
                <w:webHidden/>
              </w:rPr>
              <w:tab/>
            </w:r>
            <w:r w:rsidR="009138A4">
              <w:rPr>
                <w:noProof/>
                <w:webHidden/>
              </w:rPr>
              <w:fldChar w:fldCharType="begin"/>
            </w:r>
            <w:r w:rsidR="009138A4">
              <w:rPr>
                <w:noProof/>
                <w:webHidden/>
              </w:rPr>
              <w:instrText xml:space="preserve"> PAGEREF _Toc496413397 \h </w:instrText>
            </w:r>
            <w:r w:rsidR="009138A4">
              <w:rPr>
                <w:noProof/>
                <w:webHidden/>
              </w:rPr>
            </w:r>
            <w:r w:rsidR="009138A4">
              <w:rPr>
                <w:noProof/>
                <w:webHidden/>
              </w:rPr>
              <w:fldChar w:fldCharType="separate"/>
            </w:r>
            <w:r w:rsidR="00446463">
              <w:rPr>
                <w:noProof/>
                <w:webHidden/>
              </w:rPr>
              <w:t>55</w:t>
            </w:r>
            <w:r w:rsidR="009138A4">
              <w:rPr>
                <w:noProof/>
                <w:webHidden/>
              </w:rPr>
              <w:fldChar w:fldCharType="end"/>
            </w:r>
          </w:hyperlink>
        </w:p>
        <w:p w14:paraId="5ADC8902" w14:textId="6A5F5F1A" w:rsidR="009138A4" w:rsidRDefault="00D6421B">
          <w:pPr>
            <w:pStyle w:val="TOC2"/>
            <w:tabs>
              <w:tab w:val="right" w:leader="dot" w:pos="9350"/>
            </w:tabs>
            <w:rPr>
              <w:rFonts w:asciiTheme="minorHAnsi" w:eastAsiaTheme="minorEastAsia" w:hAnsiTheme="minorHAnsi" w:cstheme="minorBidi"/>
              <w:noProof/>
              <w:lang w:val="en-US"/>
            </w:rPr>
          </w:pPr>
          <w:hyperlink w:anchor="_Toc496413398" w:history="1">
            <w:r w:rsidR="009138A4" w:rsidRPr="00666DA1">
              <w:rPr>
                <w:rStyle w:val="Hyperlink"/>
                <w:noProof/>
              </w:rPr>
              <w:t>Prilog 1: Integrirani pregled revidirane strategije (upisati period od xxxx do xxxx)</w:t>
            </w:r>
            <w:r w:rsidR="009138A4">
              <w:rPr>
                <w:noProof/>
                <w:webHidden/>
              </w:rPr>
              <w:tab/>
            </w:r>
            <w:r w:rsidR="009138A4">
              <w:rPr>
                <w:noProof/>
                <w:webHidden/>
              </w:rPr>
              <w:fldChar w:fldCharType="begin"/>
            </w:r>
            <w:r w:rsidR="009138A4">
              <w:rPr>
                <w:noProof/>
                <w:webHidden/>
              </w:rPr>
              <w:instrText xml:space="preserve"> PAGEREF _Toc496413398 \h </w:instrText>
            </w:r>
            <w:r w:rsidR="009138A4">
              <w:rPr>
                <w:noProof/>
                <w:webHidden/>
              </w:rPr>
            </w:r>
            <w:r w:rsidR="009138A4">
              <w:rPr>
                <w:noProof/>
                <w:webHidden/>
              </w:rPr>
              <w:fldChar w:fldCharType="separate"/>
            </w:r>
            <w:r w:rsidR="00446463">
              <w:rPr>
                <w:noProof/>
                <w:webHidden/>
              </w:rPr>
              <w:t>55</w:t>
            </w:r>
            <w:r w:rsidR="009138A4">
              <w:rPr>
                <w:noProof/>
                <w:webHidden/>
              </w:rPr>
              <w:fldChar w:fldCharType="end"/>
            </w:r>
          </w:hyperlink>
        </w:p>
        <w:p w14:paraId="5980E831" w14:textId="0E21BD27" w:rsidR="009138A4" w:rsidRDefault="00D6421B">
          <w:pPr>
            <w:pStyle w:val="TOC2"/>
            <w:tabs>
              <w:tab w:val="right" w:leader="dot" w:pos="9350"/>
            </w:tabs>
            <w:rPr>
              <w:rFonts w:asciiTheme="minorHAnsi" w:eastAsiaTheme="minorEastAsia" w:hAnsiTheme="minorHAnsi" w:cstheme="minorBidi"/>
              <w:noProof/>
              <w:lang w:val="en-US"/>
            </w:rPr>
          </w:pPr>
          <w:hyperlink w:anchor="_Toc496413399" w:history="1">
            <w:r w:rsidR="009138A4" w:rsidRPr="00666DA1">
              <w:rPr>
                <w:rStyle w:val="Hyperlink"/>
                <w:noProof/>
              </w:rPr>
              <w:t>Prilog 2: Definicije varijabli za praćenje indikatora/ishoda (generiše se iz Alata za koherentost)</w:t>
            </w:r>
            <w:r w:rsidR="009138A4">
              <w:rPr>
                <w:noProof/>
                <w:webHidden/>
              </w:rPr>
              <w:tab/>
            </w:r>
            <w:r w:rsidR="009138A4">
              <w:rPr>
                <w:noProof/>
                <w:webHidden/>
              </w:rPr>
              <w:fldChar w:fldCharType="begin"/>
            </w:r>
            <w:r w:rsidR="009138A4">
              <w:rPr>
                <w:noProof/>
                <w:webHidden/>
              </w:rPr>
              <w:instrText xml:space="preserve"> PAGEREF _Toc496413399 \h </w:instrText>
            </w:r>
            <w:r w:rsidR="009138A4">
              <w:rPr>
                <w:noProof/>
                <w:webHidden/>
              </w:rPr>
            </w:r>
            <w:r w:rsidR="009138A4">
              <w:rPr>
                <w:noProof/>
                <w:webHidden/>
              </w:rPr>
              <w:fldChar w:fldCharType="separate"/>
            </w:r>
            <w:r w:rsidR="00446463">
              <w:rPr>
                <w:noProof/>
                <w:webHidden/>
              </w:rPr>
              <w:t>63</w:t>
            </w:r>
            <w:r w:rsidR="009138A4">
              <w:rPr>
                <w:noProof/>
                <w:webHidden/>
              </w:rPr>
              <w:fldChar w:fldCharType="end"/>
            </w:r>
          </w:hyperlink>
        </w:p>
        <w:p w14:paraId="4158912B" w14:textId="2A5E0E27" w:rsidR="009138A4" w:rsidRDefault="00D6421B">
          <w:pPr>
            <w:pStyle w:val="TOC2"/>
            <w:tabs>
              <w:tab w:val="right" w:leader="dot" w:pos="9350"/>
            </w:tabs>
            <w:rPr>
              <w:rFonts w:asciiTheme="minorHAnsi" w:eastAsiaTheme="minorEastAsia" w:hAnsiTheme="minorHAnsi" w:cstheme="minorBidi"/>
              <w:noProof/>
              <w:lang w:val="en-US"/>
            </w:rPr>
          </w:pPr>
          <w:hyperlink w:anchor="_Toc496413400" w:history="1">
            <w:r w:rsidR="009138A4" w:rsidRPr="00666DA1">
              <w:rPr>
                <w:rStyle w:val="Hyperlink"/>
                <w:noProof/>
              </w:rPr>
              <w:t>Prilog 3: Projektne fiše (prilažu se u strateški dokument ukoliko Razvojni tim tako odluči, u suprotnom se izdvajaju u poseban elektronski dokument koji se adekvatno pohranjuje)</w:t>
            </w:r>
            <w:r w:rsidR="009138A4">
              <w:rPr>
                <w:noProof/>
                <w:webHidden/>
              </w:rPr>
              <w:tab/>
            </w:r>
            <w:r w:rsidR="009138A4">
              <w:rPr>
                <w:noProof/>
                <w:webHidden/>
              </w:rPr>
              <w:fldChar w:fldCharType="begin"/>
            </w:r>
            <w:r w:rsidR="009138A4">
              <w:rPr>
                <w:noProof/>
                <w:webHidden/>
              </w:rPr>
              <w:instrText xml:space="preserve"> PAGEREF _Toc496413400 \h </w:instrText>
            </w:r>
            <w:r w:rsidR="009138A4">
              <w:rPr>
                <w:noProof/>
                <w:webHidden/>
              </w:rPr>
            </w:r>
            <w:r w:rsidR="009138A4">
              <w:rPr>
                <w:noProof/>
                <w:webHidden/>
              </w:rPr>
              <w:fldChar w:fldCharType="separate"/>
            </w:r>
            <w:r w:rsidR="00446463">
              <w:rPr>
                <w:noProof/>
                <w:webHidden/>
              </w:rPr>
              <w:t>63</w:t>
            </w:r>
            <w:r w:rsidR="009138A4">
              <w:rPr>
                <w:noProof/>
                <w:webHidden/>
              </w:rPr>
              <w:fldChar w:fldCharType="end"/>
            </w:r>
          </w:hyperlink>
        </w:p>
        <w:p w14:paraId="2AF9E167" w14:textId="54115453" w:rsidR="00F67084" w:rsidRDefault="00F67084">
          <w:r>
            <w:rPr>
              <w:b/>
              <w:bCs/>
              <w:noProof/>
            </w:rPr>
            <w:fldChar w:fldCharType="end"/>
          </w:r>
        </w:p>
      </w:sdtContent>
    </w:sdt>
    <w:p w14:paraId="5B3B9D4A" w14:textId="5661ABCA" w:rsidR="00F67084" w:rsidRDefault="00F67084" w:rsidP="00F67084">
      <w:pPr>
        <w:rPr>
          <w:lang w:val="pl-PL"/>
        </w:rPr>
      </w:pPr>
    </w:p>
    <w:p w14:paraId="7C083C32" w14:textId="5C263390" w:rsidR="00F67084" w:rsidRDefault="00F67084" w:rsidP="00F67084">
      <w:pPr>
        <w:rPr>
          <w:lang w:val="pl-PL"/>
        </w:rPr>
      </w:pPr>
    </w:p>
    <w:p w14:paraId="4094FBBF" w14:textId="5745EBA6" w:rsidR="00F67084" w:rsidRDefault="00F67084" w:rsidP="00F67084">
      <w:pPr>
        <w:rPr>
          <w:lang w:val="pl-PL"/>
        </w:rPr>
      </w:pPr>
    </w:p>
    <w:p w14:paraId="306E3146" w14:textId="311F97E1" w:rsidR="00F67084" w:rsidRDefault="00F67084" w:rsidP="00F67084">
      <w:pPr>
        <w:rPr>
          <w:lang w:val="pl-PL"/>
        </w:rPr>
      </w:pPr>
    </w:p>
    <w:p w14:paraId="2412610A" w14:textId="77777777" w:rsidR="00F67084" w:rsidRPr="00F67084" w:rsidRDefault="00F67084" w:rsidP="00F67084">
      <w:pPr>
        <w:rPr>
          <w:lang w:val="pl-PL"/>
        </w:rPr>
      </w:pPr>
    </w:p>
    <w:p w14:paraId="68C8DE52" w14:textId="7C7547AD" w:rsidR="003B497A" w:rsidRPr="0085443D" w:rsidRDefault="000B6E58" w:rsidP="003B497A">
      <w:pPr>
        <w:pStyle w:val="Heading1"/>
        <w:rPr>
          <w:lang w:val="pl-PL"/>
        </w:rPr>
      </w:pPr>
      <w:bookmarkStart w:id="1" w:name="_Toc496413370"/>
      <w:r>
        <w:rPr>
          <w:lang w:val="pl-PL"/>
        </w:rPr>
        <w:lastRenderedPageBreak/>
        <w:t xml:space="preserve">II </w:t>
      </w:r>
      <w:r w:rsidR="003B497A" w:rsidRPr="0085443D">
        <w:rPr>
          <w:lang w:val="pl-PL"/>
        </w:rPr>
        <w:t>Uvod</w:t>
      </w:r>
      <w:bookmarkEnd w:id="1"/>
      <w:r w:rsidR="003B497A" w:rsidRPr="0085443D">
        <w:rPr>
          <w:lang w:val="pl-PL"/>
        </w:rPr>
        <w:t xml:space="preserve"> </w:t>
      </w:r>
    </w:p>
    <w:p w14:paraId="7D05F0BD" w14:textId="77777777" w:rsidR="003B497A" w:rsidRPr="0085443D" w:rsidRDefault="003B497A" w:rsidP="003B497A">
      <w:pPr>
        <w:spacing w:after="100"/>
        <w:jc w:val="both"/>
      </w:pPr>
      <w:r w:rsidRPr="0085443D">
        <w:t>Strategija razvoja Op</w:t>
      </w:r>
      <w:r w:rsidR="004F47BB" w:rsidRPr="0085443D">
        <w:t>št</w:t>
      </w:r>
      <w:r w:rsidRPr="0085443D">
        <w:t xml:space="preserve">ine </w:t>
      </w:r>
      <w:r w:rsidR="004F47BB" w:rsidRPr="0085443D">
        <w:t>Prnjavor</w:t>
      </w:r>
      <w:r w:rsidRPr="0085443D">
        <w:t xml:space="preserve"> za period 201</w:t>
      </w:r>
      <w:r w:rsidR="004F47BB" w:rsidRPr="0085443D">
        <w:t>2</w:t>
      </w:r>
      <w:r w:rsidRPr="0085443D">
        <w:t xml:space="preserve"> – 2020. godina (u daljem tekstu: Strategija) je ključni strateško-planski dokument Op</w:t>
      </w:r>
      <w:r w:rsidR="004F47BB" w:rsidRPr="0085443D">
        <w:t>št</w:t>
      </w:r>
      <w:r w:rsidRPr="0085443D">
        <w:t>ine, koji usmjerava razvoj lokalne zajednice. Strategija je izrađena od strane Op</w:t>
      </w:r>
      <w:r w:rsidR="004F47BB" w:rsidRPr="0085443D">
        <w:t>št</w:t>
      </w:r>
      <w:r w:rsidRPr="0085443D">
        <w:t>inskog razvojnog</w:t>
      </w:r>
      <w:r w:rsidR="004F47BB" w:rsidRPr="0085443D">
        <w:t xml:space="preserve"> tima u okviru Projekta integris</w:t>
      </w:r>
      <w:r w:rsidRPr="0085443D">
        <w:t>anog lokalnog razvoja (ILDP), koji predstavlja zajedničku inicijativu Švicarske vlade i Razvojnog programa Ujedinjenih nacija (UNDP)</w:t>
      </w:r>
      <w:r w:rsidR="00EB08AD" w:rsidRPr="0085443D">
        <w:t xml:space="preserve"> i </w:t>
      </w:r>
      <w:r w:rsidR="00EB08AD" w:rsidRPr="0085443D">
        <w:rPr>
          <w:rFonts w:cs="Arial"/>
          <w:lang w:val="hr-HR"/>
        </w:rPr>
        <w:t>usvojena je od strane Skupštine opštine 11.04.2012. godine</w:t>
      </w:r>
      <w:r w:rsidRPr="0085443D">
        <w:t>.</w:t>
      </w:r>
      <w:r w:rsidR="00EB08AD" w:rsidRPr="0085443D">
        <w:t xml:space="preserve"> </w:t>
      </w:r>
    </w:p>
    <w:p w14:paraId="67F173A6" w14:textId="517FC2CA" w:rsidR="003B497A" w:rsidRPr="0085443D" w:rsidRDefault="003B497A" w:rsidP="003B497A">
      <w:pPr>
        <w:spacing w:after="100"/>
        <w:jc w:val="both"/>
      </w:pPr>
      <w:r w:rsidRPr="0085443D">
        <w:t xml:space="preserve">U skladu sa MIPRO metodologijom izvršena je nezavisna srednjoročna evaluacija Strategije čiji rezultati su predstavljali ulazne informacije neophodne za provođenje revizije </w:t>
      </w:r>
      <w:r w:rsidR="00F65DC1">
        <w:t>Strategije</w:t>
      </w:r>
      <w:r w:rsidRPr="0085443D">
        <w:t xml:space="preserve">. </w:t>
      </w:r>
    </w:p>
    <w:p w14:paraId="34EEA436" w14:textId="2676ECFD" w:rsidR="003B497A" w:rsidRPr="0085443D" w:rsidRDefault="003B497A" w:rsidP="003B497A">
      <w:pPr>
        <w:spacing w:after="100"/>
        <w:jc w:val="both"/>
      </w:pPr>
      <w:r w:rsidRPr="0085443D">
        <w:t xml:space="preserve">Revizija </w:t>
      </w:r>
      <w:r w:rsidR="00F65DC1">
        <w:t>Strategije</w:t>
      </w:r>
      <w:r w:rsidR="004F47BB" w:rsidRPr="0085443D">
        <w:t xml:space="preserve"> </w:t>
      </w:r>
      <w:r w:rsidRPr="0085443D">
        <w:t>podrazumijeva proces vođen prema principima planiranja u skladu sa MIPRO metodologijom, uvažavajući najvažnije zaključke i preporuke nezavisne srednjoročne evaluacije:</w:t>
      </w:r>
      <w:r w:rsidR="004F47BB" w:rsidRPr="0085443D">
        <w:t xml:space="preserve"> </w:t>
      </w:r>
    </w:p>
    <w:p w14:paraId="421E7D97" w14:textId="43A2F060" w:rsidR="00831CFE" w:rsidRPr="0085443D" w:rsidRDefault="001C7931" w:rsidP="00826DCF">
      <w:pPr>
        <w:pStyle w:val="ListParagraph"/>
        <w:numPr>
          <w:ilvl w:val="0"/>
          <w:numId w:val="3"/>
        </w:numPr>
        <w:spacing w:after="100"/>
      </w:pPr>
      <w:r>
        <w:t>s</w:t>
      </w:r>
      <w:r w:rsidR="00831CFE" w:rsidRPr="0085443D">
        <w:t xml:space="preserve">vi strateški fokusi su bili relevantni u prethodnom petogodišnjem periodu, ali postoji potreba da se pojedini fokusi redefinišu za naredni period, u skladu sa novonastalim faktorima i potrebama u okruženju, gdje su identifikovana četiri značajna faktora koji su promijenili prioritete </w:t>
      </w:r>
      <w:r>
        <w:t>o</w:t>
      </w:r>
      <w:r w:rsidR="00831CFE" w:rsidRPr="0085443D">
        <w:t>pštine:</w:t>
      </w:r>
    </w:p>
    <w:p w14:paraId="26C4D8C2" w14:textId="54DE5946" w:rsidR="00831CFE" w:rsidRPr="0085443D" w:rsidRDefault="001C7931" w:rsidP="00826DCF">
      <w:pPr>
        <w:pStyle w:val="ListParagraph"/>
        <w:numPr>
          <w:ilvl w:val="1"/>
          <w:numId w:val="3"/>
        </w:numPr>
        <w:spacing w:after="100"/>
      </w:pPr>
      <w:r>
        <w:t>e</w:t>
      </w:r>
      <w:r w:rsidR="00831CFE" w:rsidRPr="0085443D">
        <w:t>lementarne nepogode u toku 2014. godine,</w:t>
      </w:r>
    </w:p>
    <w:p w14:paraId="68BC4837" w14:textId="06912A3C" w:rsidR="00831CFE" w:rsidRPr="0085443D" w:rsidRDefault="001C7931" w:rsidP="00826DCF">
      <w:pPr>
        <w:pStyle w:val="ListParagraph"/>
        <w:numPr>
          <w:ilvl w:val="1"/>
          <w:numId w:val="3"/>
        </w:numPr>
        <w:spacing w:after="100"/>
      </w:pPr>
      <w:r>
        <w:t>n</w:t>
      </w:r>
      <w:r w:rsidR="00831CFE" w:rsidRPr="0085443D">
        <w:t>edostupnost spoljnih izvora finansiranja,</w:t>
      </w:r>
    </w:p>
    <w:p w14:paraId="1A2B5999" w14:textId="1FDDB89E" w:rsidR="00831CFE" w:rsidRPr="0085443D" w:rsidRDefault="001C7931" w:rsidP="00826DCF">
      <w:pPr>
        <w:pStyle w:val="ListParagraph"/>
        <w:numPr>
          <w:ilvl w:val="1"/>
          <w:numId w:val="3"/>
        </w:numPr>
        <w:spacing w:after="100"/>
      </w:pPr>
      <w:r>
        <w:t>u</w:t>
      </w:r>
      <w:r w:rsidR="00831CFE" w:rsidRPr="0085443D">
        <w:t>manjena sredstva za razvojn</w:t>
      </w:r>
      <w:r w:rsidR="00387A86" w:rsidRPr="0085443D">
        <w:t>e projekte u opštinskom budžetu,</w:t>
      </w:r>
    </w:p>
    <w:p w14:paraId="0C19007A" w14:textId="6E4F6266" w:rsidR="00831CFE" w:rsidRPr="0085443D" w:rsidRDefault="001C7931" w:rsidP="00826DCF">
      <w:pPr>
        <w:pStyle w:val="ListParagraph"/>
        <w:numPr>
          <w:ilvl w:val="1"/>
          <w:numId w:val="3"/>
        </w:numPr>
        <w:spacing w:after="100"/>
      </w:pPr>
      <w:r>
        <w:t>n</w:t>
      </w:r>
      <w:r w:rsidR="00831CFE" w:rsidRPr="0085443D">
        <w:t>egativni propratni efekti izgradnje auto-puta</w:t>
      </w:r>
      <w:r w:rsidR="00DC0B4B" w:rsidRPr="0085443D">
        <w:t>,</w:t>
      </w:r>
    </w:p>
    <w:p w14:paraId="3633FD25" w14:textId="61D71626" w:rsidR="003B497A" w:rsidRDefault="001C7931" w:rsidP="00826DCF">
      <w:pPr>
        <w:pStyle w:val="ListParagraph"/>
        <w:numPr>
          <w:ilvl w:val="0"/>
          <w:numId w:val="3"/>
        </w:numPr>
        <w:spacing w:after="100"/>
      </w:pPr>
      <w:r>
        <w:t>o</w:t>
      </w:r>
      <w:r w:rsidR="00831CFE" w:rsidRPr="0085443D">
        <w:t>pšti zaključak je da su strateški ciljevi formulisani kompleksno – obuhvataju nekoliko oblasti i sektora, te se isprepliću i pokazatelji kojima se mjeri napredak</w:t>
      </w:r>
      <w:r>
        <w:t>, pa</w:t>
      </w:r>
      <w:r w:rsidR="00831CFE" w:rsidRPr="0085443D">
        <w:t xml:space="preserve"> </w:t>
      </w:r>
      <w:r>
        <w:t xml:space="preserve">je </w:t>
      </w:r>
      <w:r w:rsidR="00831CFE" w:rsidRPr="0085443D">
        <w:t>potreb</w:t>
      </w:r>
      <w:r>
        <w:t>no</w:t>
      </w:r>
      <w:r w:rsidR="00831CFE" w:rsidRPr="0085443D">
        <w:t xml:space="preserve"> da se prilikom revizije Strategije redefinišu strateški ciljevi</w:t>
      </w:r>
      <w:r w:rsidR="00A53BE0" w:rsidRPr="0085443D">
        <w:t xml:space="preserve"> - objedine i jasnije postave pojedini strateški ciljevi</w:t>
      </w:r>
      <w:r w:rsidR="00831CFE" w:rsidRPr="0085443D">
        <w:t>, uspostave jasne veze sa strateškim fokusima, postave indikatori kojima se mjere strateški uticaji u lokalnoj zajednici i uspostave sistem</w:t>
      </w:r>
      <w:r w:rsidR="00A53BE0" w:rsidRPr="0085443D">
        <w:t>i</w:t>
      </w:r>
      <w:r>
        <w:t xml:space="preserve"> za redovno mjerenje indikatora,</w:t>
      </w:r>
    </w:p>
    <w:p w14:paraId="7CAA366E" w14:textId="53D511F3" w:rsidR="00F65DC1" w:rsidRPr="00F65DC1" w:rsidRDefault="00F65DC1" w:rsidP="00F65DC1">
      <w:pPr>
        <w:pStyle w:val="ListParagraph"/>
        <w:numPr>
          <w:ilvl w:val="0"/>
          <w:numId w:val="3"/>
        </w:numPr>
        <w:spacing w:after="100"/>
      </w:pPr>
      <w:r w:rsidRPr="00F65DC1">
        <w:t>u procesu revidiranja sektorskih planova, potrebno je</w:t>
      </w:r>
      <w:r>
        <w:t xml:space="preserve"> da se</w:t>
      </w:r>
      <w:r w:rsidRPr="00F65DC1">
        <w:t xml:space="preserve"> </w:t>
      </w:r>
      <w:r w:rsidRPr="00F65DC1">
        <w:rPr>
          <w:lang w:val="bs-Latn-BA"/>
        </w:rPr>
        <w:t>sektorski ciljevi analiziraju i redefinišu, odnosno pojednostave, bolje fokusiraju i formulišu tako da odražavaju očekivane efekte po zajednicu</w:t>
      </w:r>
      <w:r>
        <w:rPr>
          <w:lang w:val="bs-Latn-BA"/>
        </w:rPr>
        <w:t>, to jest potrebno je</w:t>
      </w:r>
      <w:r w:rsidRPr="00F65DC1">
        <w:t xml:space="preserve"> bolje</w:t>
      </w:r>
      <w:r w:rsidRPr="00F65DC1">
        <w:rPr>
          <w:lang w:val="bs-Latn-BA"/>
        </w:rPr>
        <w:t xml:space="preserve"> fokusirati sektorske ciljeve grupisanjem projekata u programe i odbacivanjem ciljeva u kojima se pojavljuju</w:t>
      </w:r>
      <w:r>
        <w:rPr>
          <w:lang w:val="bs-Latn-BA"/>
        </w:rPr>
        <w:t xml:space="preserve"> preklapanja, te </w:t>
      </w:r>
      <w:r w:rsidRPr="00F65DC1">
        <w:rPr>
          <w:lang w:val="bs-Latn-BA"/>
        </w:rPr>
        <w:t>jasnije postaviti logičke veze između projekata/programa i sektorskih ciljeva</w:t>
      </w:r>
      <w:r>
        <w:rPr>
          <w:lang w:val="bs-Latn-BA"/>
        </w:rPr>
        <w:t>,</w:t>
      </w:r>
    </w:p>
    <w:p w14:paraId="28F72016" w14:textId="1E885AAC" w:rsidR="00F65DC1" w:rsidRPr="00D024B8" w:rsidRDefault="00F65DC1" w:rsidP="00F65DC1">
      <w:pPr>
        <w:pStyle w:val="ListParagraph"/>
        <w:numPr>
          <w:ilvl w:val="0"/>
          <w:numId w:val="3"/>
        </w:numPr>
        <w:spacing w:after="100"/>
        <w:rPr>
          <w:lang w:val="bs-Latn-BA"/>
        </w:rPr>
      </w:pPr>
      <w:r>
        <w:rPr>
          <w:lang w:val="hr-HR"/>
        </w:rPr>
        <w:t>indikatore</w:t>
      </w:r>
      <w:r w:rsidRPr="00F65DC1">
        <w:rPr>
          <w:lang w:val="hr-HR"/>
        </w:rPr>
        <w:t xml:space="preserve"> treba </w:t>
      </w:r>
      <w:r>
        <w:rPr>
          <w:lang w:val="hr-HR"/>
        </w:rPr>
        <w:t xml:space="preserve">poboljšati </w:t>
      </w:r>
      <w:r w:rsidR="00D024B8">
        <w:rPr>
          <w:lang w:val="hr-HR"/>
        </w:rPr>
        <w:t>i uskladiti, te redovno mjeriti,</w:t>
      </w:r>
    </w:p>
    <w:p w14:paraId="1A9E0D56" w14:textId="64909E48" w:rsidR="00F65DC1" w:rsidRDefault="00D33CD5" w:rsidP="00D33CD5">
      <w:pPr>
        <w:pStyle w:val="ListParagraph"/>
        <w:numPr>
          <w:ilvl w:val="0"/>
          <w:numId w:val="3"/>
        </w:numPr>
        <w:spacing w:after="100"/>
        <w:rPr>
          <w:lang w:val="hr-HR"/>
        </w:rPr>
      </w:pPr>
      <w:r w:rsidRPr="00D33CD5">
        <w:rPr>
          <w:lang w:val="hr-HR"/>
        </w:rPr>
        <w:t>potrebno</w:t>
      </w:r>
      <w:r w:rsidR="001C7931">
        <w:rPr>
          <w:lang w:val="hr-HR"/>
        </w:rPr>
        <w:t xml:space="preserve"> je</w:t>
      </w:r>
      <w:r w:rsidRPr="00D33CD5">
        <w:rPr>
          <w:lang w:val="hr-HR"/>
        </w:rPr>
        <w:t xml:space="preserve"> realnije planirati kako sredstva iz opštinskog budžeta tako i sredstva  iz vanjskih izvora</w:t>
      </w:r>
      <w:r w:rsidR="00D024B8">
        <w:rPr>
          <w:lang w:val="hr-HR"/>
        </w:rPr>
        <w:t xml:space="preserve">, </w:t>
      </w:r>
    </w:p>
    <w:p w14:paraId="5E252F2A" w14:textId="5C3FB43A" w:rsidR="00C11E86" w:rsidRPr="00D024B8" w:rsidRDefault="00C11E86" w:rsidP="007B3E57">
      <w:pPr>
        <w:pStyle w:val="ListParagraph"/>
        <w:numPr>
          <w:ilvl w:val="0"/>
          <w:numId w:val="3"/>
        </w:numPr>
        <w:spacing w:after="100"/>
        <w:rPr>
          <w:lang w:val="hr-HR"/>
        </w:rPr>
      </w:pPr>
      <w:r w:rsidRPr="00C11E86">
        <w:rPr>
          <w:lang w:val="sr-Latn-BA"/>
        </w:rPr>
        <w:t>u kontekstu</w:t>
      </w:r>
      <w:r w:rsidRPr="00C11E86">
        <w:rPr>
          <w:cs/>
          <w:lang w:val="hr-HR" w:bidi="ta-IN"/>
        </w:rPr>
        <w:t xml:space="preserve"> </w:t>
      </w:r>
      <w:r w:rsidRPr="00C11E86">
        <w:rPr>
          <w:lang w:val="sr-Latn-BA"/>
        </w:rPr>
        <w:t xml:space="preserve">jačanja institucionalnih kapaciteta, preporuke se odnose na </w:t>
      </w:r>
      <w:r w:rsidR="007B3E57">
        <w:rPr>
          <w:lang w:val="sr-Latn-BA"/>
        </w:rPr>
        <w:t xml:space="preserve">unapređenje </w:t>
      </w:r>
      <w:r w:rsidRPr="00C11E86">
        <w:rPr>
          <w:lang w:val="hr-HR"/>
        </w:rPr>
        <w:t>saradnj</w:t>
      </w:r>
      <w:r w:rsidR="007B3E57">
        <w:rPr>
          <w:lang w:val="hr-HR"/>
        </w:rPr>
        <w:t>e</w:t>
      </w:r>
      <w:r w:rsidRPr="00C11E86">
        <w:rPr>
          <w:lang w:val="hr-HR"/>
        </w:rPr>
        <w:t xml:space="preserve"> sa širim krugom socio-ekonomskih aktera s</w:t>
      </w:r>
      <w:r w:rsidR="007B3E57">
        <w:rPr>
          <w:lang w:val="hr-HR"/>
        </w:rPr>
        <w:t>a</w:t>
      </w:r>
      <w:r w:rsidRPr="00C11E86">
        <w:rPr>
          <w:lang w:val="hr-HR"/>
        </w:rPr>
        <w:t xml:space="preserve"> ciljem njihovog aktivnijeg uključenja u procese planiranja i implementacije, t</w:t>
      </w:r>
      <w:r w:rsidR="007B3E57">
        <w:rPr>
          <w:lang w:val="hr-HR"/>
        </w:rPr>
        <w:t xml:space="preserve">e postizanja održivih rezultata, </w:t>
      </w:r>
      <w:r w:rsidR="001C7931">
        <w:rPr>
          <w:lang w:val="hr-HR"/>
        </w:rPr>
        <w:t xml:space="preserve">kao i </w:t>
      </w:r>
      <w:r w:rsidR="007B3E57">
        <w:rPr>
          <w:lang w:val="hr-HR"/>
        </w:rPr>
        <w:t>j</w:t>
      </w:r>
      <w:r w:rsidR="007B3E57" w:rsidRPr="007B3E57">
        <w:rPr>
          <w:lang w:val="hr-HR"/>
        </w:rPr>
        <w:t>ača</w:t>
      </w:r>
      <w:r w:rsidR="007B3E57">
        <w:rPr>
          <w:lang w:val="hr-HR"/>
        </w:rPr>
        <w:t>nje kapaciteta</w:t>
      </w:r>
      <w:r w:rsidR="007B3E57" w:rsidRPr="007B3E57">
        <w:rPr>
          <w:lang w:val="hr-HR"/>
        </w:rPr>
        <w:t xml:space="preserve"> predstavnika lokalne uprave i eksternih aktera za pisanje i implementaciju projekata u skladu sa zahtjevima donatora, posebno EU</w:t>
      </w:r>
      <w:r w:rsidR="00723704">
        <w:rPr>
          <w:lang w:val="hr-HR"/>
        </w:rPr>
        <w:t>.</w:t>
      </w:r>
    </w:p>
    <w:p w14:paraId="03835075" w14:textId="77777777" w:rsidR="003B497A" w:rsidRPr="0085443D" w:rsidRDefault="003B497A" w:rsidP="003B497A">
      <w:pPr>
        <w:rPr>
          <w:rFonts w:ascii="Myriad Pro" w:eastAsia="Times New Roman" w:hAnsi="Myriad Pro"/>
          <w:bCs/>
          <w:kern w:val="32"/>
          <w:lang w:val="bs-Latn-BA"/>
        </w:rPr>
      </w:pPr>
    </w:p>
    <w:p w14:paraId="5FB24E13" w14:textId="77777777" w:rsidR="003B497A" w:rsidRPr="0085443D" w:rsidRDefault="003B497A" w:rsidP="003B497A">
      <w:pPr>
        <w:pStyle w:val="Heading1"/>
        <w:rPr>
          <w:lang w:val="bs-Latn-BA"/>
        </w:rPr>
      </w:pPr>
      <w:bookmarkStart w:id="2" w:name="_Toc496413371"/>
      <w:bookmarkStart w:id="3" w:name="_Toc462761754"/>
      <w:r w:rsidRPr="0085443D">
        <w:t>III</w:t>
      </w:r>
      <w:r w:rsidRPr="0085443D">
        <w:rPr>
          <w:lang w:val="bs-Latn-BA"/>
        </w:rPr>
        <w:tab/>
      </w:r>
      <w:r w:rsidRPr="0085443D">
        <w:t>Metodologija</w:t>
      </w:r>
      <w:r w:rsidRPr="0085443D">
        <w:rPr>
          <w:lang w:val="bs-Latn-BA"/>
        </w:rPr>
        <w:t xml:space="preserve"> </w:t>
      </w:r>
      <w:r w:rsidRPr="0085443D">
        <w:t>kreiranja</w:t>
      </w:r>
      <w:r w:rsidRPr="0085443D">
        <w:rPr>
          <w:lang w:val="bs-Latn-BA"/>
        </w:rPr>
        <w:t xml:space="preserve"> </w:t>
      </w:r>
      <w:r w:rsidRPr="0085443D">
        <w:t>revidirane</w:t>
      </w:r>
      <w:r w:rsidRPr="0085443D">
        <w:rPr>
          <w:lang w:val="bs-Latn-BA"/>
        </w:rPr>
        <w:t xml:space="preserve"> </w:t>
      </w:r>
      <w:r w:rsidRPr="0085443D">
        <w:t>strate</w:t>
      </w:r>
      <w:r w:rsidR="00A02C9B" w:rsidRPr="0085443D">
        <w:rPr>
          <w:lang w:val="sr-Latn-BA"/>
        </w:rPr>
        <w:t>ške platforme</w:t>
      </w:r>
      <w:bookmarkEnd w:id="2"/>
      <w:r w:rsidRPr="0085443D">
        <w:rPr>
          <w:lang w:val="bs-Latn-BA"/>
        </w:rPr>
        <w:t xml:space="preserve"> </w:t>
      </w:r>
      <w:bookmarkEnd w:id="3"/>
    </w:p>
    <w:p w14:paraId="566A2A3C" w14:textId="51A1E14D" w:rsidR="003B497A" w:rsidRPr="0085443D" w:rsidRDefault="00A53BE0" w:rsidP="003B497A">
      <w:pPr>
        <w:spacing w:after="100"/>
        <w:jc w:val="both"/>
      </w:pPr>
      <w:r w:rsidRPr="0085443D">
        <w:t xml:space="preserve">U reviziji </w:t>
      </w:r>
      <w:r w:rsidR="00553527">
        <w:t>Strategije</w:t>
      </w:r>
      <w:r w:rsidRPr="0085443D">
        <w:t xml:space="preserve"> </w:t>
      </w:r>
      <w:r w:rsidR="003B497A" w:rsidRPr="0085443D">
        <w:t>korištena je standardna Metodologija za integrisano planiranje lokalnog razvoja (MIPRO), prihvaćena i preporučena od strane entitetskih vlada, te saveza op</w:t>
      </w:r>
      <w:r w:rsidRPr="0085443D">
        <w:t>št</w:t>
      </w:r>
      <w:r w:rsidR="003B497A" w:rsidRPr="0085443D">
        <w:t xml:space="preserve">ina i gradova oba entiteta. MIPRO je usklađena sa postojećim zakonskim okvirom kojim je definisano planiranje razvoja na lokalnom nivou, kao i sa vodećim principima i pristupima strateškom planiranju koje promoviše Evropska unija. </w:t>
      </w:r>
      <w:r w:rsidR="000739B2" w:rsidRPr="00D44AF3">
        <w:lastRenderedPageBreak/>
        <w:t xml:space="preserve">Vodeći principi na kojima se zasniva revizija Strategije razvoja su održivost i socijalna uključenost. Održivost kao princip integriše ekonomski i aspekt životne sredine, dok princip socijalne uključenosti podrazumijeva jednake šanse za sve i pravičnost u smislu identifikovanja potreba i interesa marginalizovanih i socijalno isključenih grupa stanovništva. </w:t>
      </w:r>
      <w:r w:rsidR="000739B2">
        <w:t>R</w:t>
      </w:r>
      <w:r w:rsidR="000739B2" w:rsidRPr="00D44AF3">
        <w:t>evidiranu Strategiju karakterišu integracija (što znači da su ekonomski, društveni i aspekt zaštite životne sredine posmatrani kao neodvojivi dijelovi jedne cjeline) i participacija (svi zainteresovani akteri su angažovani i doprinijeli su reviziji Strategije).</w:t>
      </w:r>
      <w:r w:rsidR="000739B2">
        <w:t xml:space="preserve"> </w:t>
      </w:r>
    </w:p>
    <w:p w14:paraId="41E318E3" w14:textId="48753420" w:rsidR="003B497A" w:rsidRPr="0085443D" w:rsidRDefault="003B497A" w:rsidP="003B497A">
      <w:pPr>
        <w:spacing w:after="100"/>
        <w:jc w:val="both"/>
      </w:pPr>
      <w:r w:rsidRPr="0085443D">
        <w:t xml:space="preserve">Proces revizije </w:t>
      </w:r>
      <w:r w:rsidR="000739B2">
        <w:t>Strategije</w:t>
      </w:r>
      <w:r w:rsidR="00A53BE0" w:rsidRPr="0085443D">
        <w:t>, iniciran od strane načelnika</w:t>
      </w:r>
      <w:r w:rsidRPr="0085443D">
        <w:t xml:space="preserve"> Op</w:t>
      </w:r>
      <w:r w:rsidR="00A53BE0" w:rsidRPr="0085443D">
        <w:t>št</w:t>
      </w:r>
      <w:r w:rsidRPr="0085443D">
        <w:t xml:space="preserve">ine i podržan od strane </w:t>
      </w:r>
      <w:r w:rsidR="00A53BE0" w:rsidRPr="0085443D">
        <w:t>Skupštine opštine</w:t>
      </w:r>
      <w:r w:rsidRPr="0085443D">
        <w:t xml:space="preserve">, uz podršku Razvojnog programa Ujedinjenih nacija (UNDP-a) izveden je uključivanjem radnih tijela – </w:t>
      </w:r>
      <w:r w:rsidR="000739B2" w:rsidRPr="00643FC8">
        <w:rPr>
          <w:rFonts w:asciiTheme="minorHAnsi" w:hAnsiTheme="minorHAnsi" w:cstheme="minorHAnsi"/>
        </w:rPr>
        <w:t>Opštinskog razvojnog tima (ORT)</w:t>
      </w:r>
      <w:r w:rsidR="000739B2">
        <w:rPr>
          <w:rFonts w:asciiTheme="minorHAnsi" w:hAnsiTheme="minorHAnsi" w:cstheme="minorHAnsi"/>
        </w:rPr>
        <w:t xml:space="preserve">, </w:t>
      </w:r>
      <w:r w:rsidR="000739B2" w:rsidRPr="00D44AF3">
        <w:t>sektorskih grupa za ekonomski razvoj, društveni razvoj i zaštitu životne sredine</w:t>
      </w:r>
      <w:r w:rsidR="000739B2" w:rsidRPr="00643FC8">
        <w:rPr>
          <w:rFonts w:asciiTheme="minorHAnsi" w:hAnsiTheme="minorHAnsi" w:cstheme="minorHAnsi"/>
        </w:rPr>
        <w:t xml:space="preserve"> i Partnerske grupe (PG)</w:t>
      </w:r>
      <w:r w:rsidRPr="0085443D">
        <w:t xml:space="preserve">. </w:t>
      </w:r>
    </w:p>
    <w:p w14:paraId="403E952E" w14:textId="2A18D9B0" w:rsidR="003B497A" w:rsidRPr="0085443D" w:rsidRDefault="003B497A" w:rsidP="003B497A">
      <w:pPr>
        <w:spacing w:after="100"/>
        <w:jc w:val="both"/>
      </w:pPr>
      <w:r w:rsidRPr="0085443D">
        <w:t>Proces je operativno vodio Op</w:t>
      </w:r>
      <w:r w:rsidR="00A53BE0" w:rsidRPr="0085443D">
        <w:t xml:space="preserve">štinski razvojni tim </w:t>
      </w:r>
      <w:r w:rsidR="000739B2" w:rsidRPr="00643FC8">
        <w:rPr>
          <w:rFonts w:asciiTheme="minorHAnsi" w:hAnsiTheme="minorHAnsi" w:cstheme="minorHAnsi"/>
        </w:rPr>
        <w:t xml:space="preserve">uz </w:t>
      </w:r>
      <w:r w:rsidR="000739B2" w:rsidRPr="00D44AF3">
        <w:t xml:space="preserve">pomoć sektorskih radnih grupa te </w:t>
      </w:r>
      <w:r w:rsidRPr="0085443D">
        <w:t>uz učešće Partnerske grupe – konsultativnog tijela koje čine predstavnici javnog, privatnog i nevladinog sektora.</w:t>
      </w:r>
    </w:p>
    <w:p w14:paraId="3BEDE1F3" w14:textId="1D488540" w:rsidR="003B497A" w:rsidRPr="0085443D" w:rsidRDefault="000739B2" w:rsidP="00992460">
      <w:pPr>
        <w:spacing w:after="100"/>
        <w:jc w:val="both"/>
        <w:rPr>
          <w:lang w:val="sr-Cyrl-BA"/>
        </w:rPr>
      </w:pPr>
      <w:r w:rsidRPr="000739B2">
        <w:t xml:space="preserve">Polazna tačka za reviziju Strategije je nezavisna srednjoročna evaluacija Strategije. Reviziju strateške platforme, koja obuhvata socio-ekonomsku analizu, strateške fokuse, viziju razvoja i strateške ciljeve razvoja uradio je ORT, uz podršku PG. Reviziju sektorskih planova razvoja ekonomije, društva i zaštite i unapređenja životne sredine izradile su za tu svrhu formirane sektorske radne grupe, koje su činili članovi ORT-a i PG, uz intenzivan rad ORT-a. U završnom dijelu procesa, ORT je, na bazi principa integracije, objedinio i uskladio revidirane sektorske dokumente, te pripremio okvirne trogodišnje planove implementacije, uključujući i plan razvoja organizacionih kapaciteta i ljudskih potencijala neophodnih za implementaciju Strategije. Finansijski okvir Strategije je usklađen sa opštinskim budžetom i realnim mogućnostima za korištenje sredstava iz eksternih izvora. </w:t>
      </w:r>
      <w:r>
        <w:t xml:space="preserve"> </w:t>
      </w:r>
      <w:r w:rsidR="003B497A" w:rsidRPr="0085443D">
        <w:t xml:space="preserve"> </w:t>
      </w:r>
      <w:r>
        <w:t xml:space="preserve"> </w:t>
      </w:r>
    </w:p>
    <w:p w14:paraId="3001F1C2" w14:textId="77777777" w:rsidR="003B497A" w:rsidRPr="0085443D" w:rsidRDefault="003B497A" w:rsidP="003B497A">
      <w:pPr>
        <w:pStyle w:val="Heading1"/>
        <w:rPr>
          <w:lang w:val="sr-Cyrl-BA"/>
        </w:rPr>
      </w:pPr>
      <w:bookmarkStart w:id="4" w:name="_Toc462761755"/>
      <w:bookmarkStart w:id="5" w:name="_Toc496413372"/>
      <w:r w:rsidRPr="0085443D">
        <w:t>IV</w:t>
      </w:r>
      <w:r w:rsidRPr="0085443D">
        <w:rPr>
          <w:lang w:val="sr-Cyrl-BA"/>
        </w:rPr>
        <w:tab/>
      </w:r>
      <w:r w:rsidRPr="0085443D">
        <w:t>Strate</w:t>
      </w:r>
      <w:r w:rsidRPr="0085443D">
        <w:rPr>
          <w:lang w:val="sr-Cyrl-BA"/>
        </w:rPr>
        <w:t>š</w:t>
      </w:r>
      <w:r w:rsidRPr="0085443D">
        <w:t>ka</w:t>
      </w:r>
      <w:r w:rsidRPr="0085443D">
        <w:rPr>
          <w:lang w:val="sr-Cyrl-BA"/>
        </w:rPr>
        <w:t xml:space="preserve"> </w:t>
      </w:r>
      <w:r w:rsidRPr="0085443D">
        <w:t>plaforma</w:t>
      </w:r>
      <w:bookmarkEnd w:id="4"/>
      <w:bookmarkEnd w:id="5"/>
    </w:p>
    <w:p w14:paraId="55A46815" w14:textId="77777777" w:rsidR="003B497A" w:rsidRPr="0085443D" w:rsidRDefault="003B497A" w:rsidP="003B497A">
      <w:pPr>
        <w:pStyle w:val="Heading2"/>
      </w:pPr>
      <w:bookmarkStart w:id="6" w:name="_Toc462761756"/>
      <w:bookmarkStart w:id="7" w:name="_Toc496413373"/>
      <w:r w:rsidRPr="0085443D">
        <w:t>IV.1.</w:t>
      </w:r>
      <w:r w:rsidRPr="0085443D">
        <w:tab/>
        <w:t>Kratak pregled ključnih izmjena socio-ekonomskog stanja u odnosu na prethodni period implementacije</w:t>
      </w:r>
      <w:bookmarkEnd w:id="6"/>
      <w:bookmarkEnd w:id="7"/>
    </w:p>
    <w:p w14:paraId="1F39C7D8" w14:textId="77777777" w:rsidR="003B497A" w:rsidRPr="0085443D" w:rsidRDefault="003B497A" w:rsidP="003B497A">
      <w:pPr>
        <w:spacing w:after="100"/>
        <w:jc w:val="both"/>
      </w:pPr>
      <w:r w:rsidRPr="0085443D">
        <w:t>U revidiran</w:t>
      </w:r>
      <w:r w:rsidR="003224DE" w:rsidRPr="0085443D">
        <w:t>oj</w:t>
      </w:r>
      <w:r w:rsidRPr="0085443D">
        <w:t xml:space="preserve"> </w:t>
      </w:r>
      <w:r w:rsidR="003224DE" w:rsidRPr="0085443D">
        <w:t>Strateškoj platformi</w:t>
      </w:r>
      <w:r w:rsidRPr="0085443D">
        <w:t xml:space="preserve"> dat je sažeti pregled ključnih izmjena socio-ekonomskog stanja u odnosu na stanje iz 201</w:t>
      </w:r>
      <w:r w:rsidR="003224DE" w:rsidRPr="0085443D">
        <w:t>2</w:t>
      </w:r>
      <w:r w:rsidRPr="0085443D">
        <w:t>. godine, nastalih kao rezultat implementacije Strategije i usljed djelovanja eksternih faktora, to jest faktora van obuhvata Strategije. Dijelovi socio-ekonomske analize koji nisu pretrpjeli značajne promjene izostavljeni su iz ovog pregleda, pošto su već predstavljeni u okviru dokumenta Strategija integrisanog razvoja op</w:t>
      </w:r>
      <w:r w:rsidR="003224DE" w:rsidRPr="0085443D">
        <w:t>št</w:t>
      </w:r>
      <w:r w:rsidRPr="0085443D">
        <w:t xml:space="preserve">ine </w:t>
      </w:r>
      <w:r w:rsidR="003224DE" w:rsidRPr="0085443D">
        <w:t>Prnjavor 2012</w:t>
      </w:r>
      <w:r w:rsidRPr="0085443D">
        <w:t xml:space="preserve"> – 2020.</w:t>
      </w:r>
      <w:r w:rsidR="00992960" w:rsidRPr="0085443D">
        <w:t xml:space="preserve"> </w:t>
      </w:r>
    </w:p>
    <w:p w14:paraId="06B4779F" w14:textId="77777777" w:rsidR="003B497A" w:rsidRPr="0085443D" w:rsidRDefault="003B497A" w:rsidP="003B497A">
      <w:pPr>
        <w:spacing w:after="100"/>
        <w:jc w:val="both"/>
      </w:pPr>
    </w:p>
    <w:p w14:paraId="545DD38C" w14:textId="77777777" w:rsidR="003B497A" w:rsidRPr="0085443D" w:rsidRDefault="003B497A" w:rsidP="003B497A">
      <w:pPr>
        <w:spacing w:after="80"/>
        <w:rPr>
          <w:b/>
          <w:u w:val="single"/>
        </w:rPr>
      </w:pPr>
      <w:r w:rsidRPr="0085443D">
        <w:rPr>
          <w:b/>
          <w:u w:val="single"/>
        </w:rPr>
        <w:t xml:space="preserve">Geografski položaj i karakteristike </w:t>
      </w:r>
    </w:p>
    <w:p w14:paraId="2E8971F6" w14:textId="216FC5BC" w:rsidR="003B497A" w:rsidRPr="0085443D" w:rsidRDefault="003B497A" w:rsidP="003B497A">
      <w:pPr>
        <w:spacing w:after="100"/>
        <w:jc w:val="both"/>
      </w:pPr>
      <w:r w:rsidRPr="0085443D">
        <w:t>Op</w:t>
      </w:r>
      <w:r w:rsidR="00422CE5" w:rsidRPr="0085443D">
        <w:t>št</w:t>
      </w:r>
      <w:r w:rsidRPr="0085443D">
        <w:t xml:space="preserve">ina </w:t>
      </w:r>
      <w:r w:rsidR="00422CE5" w:rsidRPr="0085443D">
        <w:t>Prnjavor</w:t>
      </w:r>
      <w:r w:rsidRPr="0085443D">
        <w:t xml:space="preserve"> zauzima površinu od </w:t>
      </w:r>
      <w:r w:rsidR="00CB31D0" w:rsidRPr="00CB31D0">
        <w:rPr>
          <w:highlight w:val="cyan"/>
        </w:rPr>
        <w:t>630</w:t>
      </w:r>
      <w:r w:rsidRPr="0085443D">
        <w:t xml:space="preserve"> km</w:t>
      </w:r>
      <w:r w:rsidRPr="0085443D">
        <w:rPr>
          <w:vertAlign w:val="superscript"/>
        </w:rPr>
        <w:t>2</w:t>
      </w:r>
      <w:r w:rsidRPr="0085443D">
        <w:t xml:space="preserve"> i nalazi se </w:t>
      </w:r>
      <w:r w:rsidR="00F61284" w:rsidRPr="0085443D">
        <w:t>u sjev</w:t>
      </w:r>
      <w:r w:rsidR="003849DC" w:rsidRPr="0085443D">
        <w:t>erozapadnom dijelu Republike Srpske</w:t>
      </w:r>
      <w:r w:rsidRPr="0085443D">
        <w:t xml:space="preserve">. Važno je naglasiti da </w:t>
      </w:r>
      <w:r w:rsidR="007B3DED" w:rsidRPr="0085443D">
        <w:rPr>
          <w:lang w:val="sr-Cyrl-BA"/>
        </w:rPr>
        <w:t>s</w:t>
      </w:r>
      <w:r w:rsidR="008E6E49" w:rsidRPr="0085443D">
        <w:t>e</w:t>
      </w:r>
      <w:r w:rsidRPr="0085443D">
        <w:t xml:space="preserve"> </w:t>
      </w:r>
      <w:r w:rsidR="008E6E49" w:rsidRPr="0085443D">
        <w:t xml:space="preserve">opština Prnjavor </w:t>
      </w:r>
      <w:r w:rsidR="00545E29" w:rsidRPr="0085443D">
        <w:t xml:space="preserve">nalazi na </w:t>
      </w:r>
      <w:r w:rsidR="008E6E49" w:rsidRPr="0085443D">
        <w:t>auto-put</w:t>
      </w:r>
      <w:r w:rsidR="00545E29" w:rsidRPr="0085443D">
        <w:t>u koji povezuje Banjaluku i Doboj i čiji završetak  izgradnje se očekuje tokom 201</w:t>
      </w:r>
      <w:r w:rsidR="00B11BFD" w:rsidRPr="0085443D">
        <w:t>8</w:t>
      </w:r>
      <w:r w:rsidR="00545E29" w:rsidRPr="0085443D">
        <w:t>. godine</w:t>
      </w:r>
      <w:r w:rsidRPr="0085443D">
        <w:t xml:space="preserve">. Treba </w:t>
      </w:r>
      <w:r w:rsidR="00976B73">
        <w:t>istaći</w:t>
      </w:r>
      <w:r w:rsidRPr="0085443D">
        <w:t xml:space="preserve"> i da je znatan dio teritorije </w:t>
      </w:r>
      <w:r w:rsidR="00545E29" w:rsidRPr="0085443D">
        <w:t>o</w:t>
      </w:r>
      <w:r w:rsidRPr="0085443D">
        <w:t>p</w:t>
      </w:r>
      <w:r w:rsidR="00545E29" w:rsidRPr="0085443D">
        <w:t>št</w:t>
      </w:r>
      <w:r w:rsidR="00B73491" w:rsidRPr="0085443D">
        <w:t>ine izložen riziku od poplava.</w:t>
      </w:r>
    </w:p>
    <w:p w14:paraId="69E5A482" w14:textId="77777777" w:rsidR="003B497A" w:rsidRPr="0085443D" w:rsidRDefault="003B497A" w:rsidP="003B497A">
      <w:pPr>
        <w:spacing w:after="100"/>
        <w:jc w:val="both"/>
      </w:pPr>
      <w:r w:rsidRPr="0085443D">
        <w:rPr>
          <w:b/>
        </w:rPr>
        <w:fldChar w:fldCharType="begin"/>
      </w:r>
      <w:r w:rsidRPr="0085443D">
        <w:rPr>
          <w:b/>
        </w:rPr>
        <w:instrText xml:space="preserve"> HYPERLINK \l "_Toc443859772" </w:instrText>
      </w:r>
      <w:r w:rsidRPr="0085443D">
        <w:rPr>
          <w:b/>
        </w:rPr>
        <w:fldChar w:fldCharType="separate"/>
      </w:r>
    </w:p>
    <w:p w14:paraId="29E50DA2" w14:textId="77777777" w:rsidR="003B497A" w:rsidRPr="0085443D" w:rsidRDefault="003B497A" w:rsidP="003B497A">
      <w:pPr>
        <w:spacing w:after="80"/>
        <w:rPr>
          <w:b/>
          <w:u w:val="single"/>
        </w:rPr>
      </w:pPr>
      <w:r w:rsidRPr="0085443D">
        <w:rPr>
          <w:b/>
          <w:u w:val="single"/>
        </w:rPr>
        <w:t>D</w:t>
      </w:r>
      <w:r w:rsidR="007B3DED" w:rsidRPr="0085443D">
        <w:rPr>
          <w:b/>
          <w:u w:val="single"/>
        </w:rPr>
        <w:t>e</w:t>
      </w:r>
      <w:r w:rsidRPr="0085443D">
        <w:rPr>
          <w:b/>
          <w:u w:val="single"/>
        </w:rPr>
        <w:t>m</w:t>
      </w:r>
      <w:r w:rsidR="007B3DED" w:rsidRPr="0085443D">
        <w:rPr>
          <w:b/>
          <w:u w:val="single"/>
        </w:rPr>
        <w:t>o</w:t>
      </w:r>
      <w:r w:rsidRPr="0085443D">
        <w:rPr>
          <w:b/>
          <w:u w:val="single"/>
        </w:rPr>
        <w:t>gr</w:t>
      </w:r>
      <w:r w:rsidR="007B3DED" w:rsidRPr="0085443D">
        <w:rPr>
          <w:b/>
          <w:u w:val="single"/>
        </w:rPr>
        <w:t>a</w:t>
      </w:r>
      <w:r w:rsidRPr="0085443D">
        <w:rPr>
          <w:b/>
          <w:u w:val="single"/>
        </w:rPr>
        <w:t>fsk</w:t>
      </w:r>
      <w:r w:rsidR="007B3DED" w:rsidRPr="0085443D">
        <w:rPr>
          <w:b/>
          <w:u w:val="single"/>
        </w:rPr>
        <w:t>e</w:t>
      </w:r>
      <w:r w:rsidRPr="0085443D">
        <w:rPr>
          <w:b/>
          <w:u w:val="single"/>
        </w:rPr>
        <w:t xml:space="preserve"> k</w:t>
      </w:r>
      <w:r w:rsidR="007B3DED" w:rsidRPr="0085443D">
        <w:rPr>
          <w:b/>
          <w:u w:val="single"/>
        </w:rPr>
        <w:t>a</w:t>
      </w:r>
      <w:r w:rsidRPr="0085443D">
        <w:rPr>
          <w:b/>
          <w:u w:val="single"/>
        </w:rPr>
        <w:t>r</w:t>
      </w:r>
      <w:r w:rsidR="007B3DED" w:rsidRPr="0085443D">
        <w:rPr>
          <w:b/>
          <w:u w:val="single"/>
        </w:rPr>
        <w:t>a</w:t>
      </w:r>
      <w:r w:rsidRPr="0085443D">
        <w:rPr>
          <w:b/>
          <w:u w:val="single"/>
        </w:rPr>
        <w:t>kt</w:t>
      </w:r>
      <w:r w:rsidR="007B3DED" w:rsidRPr="0085443D">
        <w:rPr>
          <w:b/>
          <w:u w:val="single"/>
        </w:rPr>
        <w:t>e</w:t>
      </w:r>
      <w:r w:rsidRPr="0085443D">
        <w:rPr>
          <w:b/>
          <w:u w:val="single"/>
        </w:rPr>
        <w:t>ristik</w:t>
      </w:r>
      <w:r w:rsidR="007B3DED" w:rsidRPr="0085443D">
        <w:rPr>
          <w:b/>
          <w:u w:val="single"/>
        </w:rPr>
        <w:t>e</w:t>
      </w:r>
      <w:r w:rsidRPr="0085443D">
        <w:rPr>
          <w:b/>
          <w:u w:val="single"/>
        </w:rPr>
        <w:t xml:space="preserve"> i kr</w:t>
      </w:r>
      <w:r w:rsidR="007B3DED" w:rsidRPr="0085443D">
        <w:rPr>
          <w:b/>
          <w:u w:val="single"/>
        </w:rPr>
        <w:t>e</w:t>
      </w:r>
      <w:r w:rsidRPr="0085443D">
        <w:rPr>
          <w:b/>
          <w:u w:val="single"/>
        </w:rPr>
        <w:t>t</w:t>
      </w:r>
      <w:r w:rsidR="007B3DED" w:rsidRPr="0085443D">
        <w:rPr>
          <w:b/>
          <w:u w:val="single"/>
        </w:rPr>
        <w:t>a</w:t>
      </w:r>
      <w:r w:rsidRPr="0085443D">
        <w:rPr>
          <w:b/>
          <w:u w:val="single"/>
        </w:rPr>
        <w:t>nj</w:t>
      </w:r>
      <w:r w:rsidR="007B3DED" w:rsidRPr="0085443D">
        <w:rPr>
          <w:b/>
          <w:u w:val="single"/>
        </w:rPr>
        <w:t>a</w:t>
      </w:r>
      <w:r w:rsidRPr="0085443D">
        <w:rPr>
          <w:b/>
          <w:u w:val="single"/>
        </w:rPr>
        <w:fldChar w:fldCharType="end"/>
      </w:r>
    </w:p>
    <w:p w14:paraId="5348C3BC" w14:textId="77777777" w:rsidR="003B6B49" w:rsidRPr="0085443D" w:rsidRDefault="001A1F9F" w:rsidP="001A1F9F">
      <w:pPr>
        <w:spacing w:after="100"/>
        <w:jc w:val="both"/>
      </w:pPr>
      <w:r w:rsidRPr="0085443D">
        <w:t>Prema Rezultatima popisa</w:t>
      </w:r>
      <w:r w:rsidR="00BE025C" w:rsidRPr="0085443D">
        <w:t xml:space="preserve"> 2013. godine</w:t>
      </w:r>
      <w:r w:rsidRPr="0085443D">
        <w:rPr>
          <w:vertAlign w:val="superscript"/>
        </w:rPr>
        <w:footnoteReference w:customMarkFollows="1" w:id="1"/>
        <w:t>[2]</w:t>
      </w:r>
      <w:r w:rsidRPr="0085443D">
        <w:t xml:space="preserve"> u Op</w:t>
      </w:r>
      <w:r w:rsidR="000B71B9" w:rsidRPr="0085443D">
        <w:t>št</w:t>
      </w:r>
      <w:r w:rsidRPr="0085443D">
        <w:t xml:space="preserve">ini </w:t>
      </w:r>
      <w:r w:rsidR="000B71B9" w:rsidRPr="0085443D">
        <w:t>Prnjavor</w:t>
      </w:r>
      <w:r w:rsidRPr="0085443D">
        <w:t xml:space="preserve"> je ukupno popisano </w:t>
      </w:r>
      <w:r w:rsidR="000B71B9" w:rsidRPr="0085443D">
        <w:t xml:space="preserve">34.357 </w:t>
      </w:r>
      <w:r w:rsidRPr="0085443D">
        <w:t>stanovnika i to</w:t>
      </w:r>
      <w:r w:rsidR="00DF2DEC" w:rsidRPr="0085443D">
        <w:t xml:space="preserve"> 16.675 ili</w:t>
      </w:r>
      <w:r w:rsidRPr="0085443D">
        <w:t xml:space="preserve"> 4</w:t>
      </w:r>
      <w:r w:rsidR="000B71B9" w:rsidRPr="0085443D">
        <w:t>8</w:t>
      </w:r>
      <w:r w:rsidRPr="0085443D">
        <w:t>,</w:t>
      </w:r>
      <w:r w:rsidR="000B71B9" w:rsidRPr="0085443D">
        <w:t>53</w:t>
      </w:r>
      <w:r w:rsidRPr="0085443D">
        <w:t>% muškaraca i</w:t>
      </w:r>
      <w:r w:rsidR="00DF2DEC" w:rsidRPr="0085443D">
        <w:t xml:space="preserve"> 17.682 ili </w:t>
      </w:r>
      <w:r w:rsidRPr="0085443D">
        <w:t>5</w:t>
      </w:r>
      <w:r w:rsidR="00DF2DEC" w:rsidRPr="0085443D">
        <w:t>1</w:t>
      </w:r>
      <w:r w:rsidRPr="0085443D">
        <w:t>,</w:t>
      </w:r>
      <w:r w:rsidR="00DF2DEC" w:rsidRPr="0085443D">
        <w:t>47</w:t>
      </w:r>
      <w:r w:rsidRPr="0085443D">
        <w:t>% žena, u 1</w:t>
      </w:r>
      <w:r w:rsidR="00FE3C6E" w:rsidRPr="0085443D">
        <w:t>2</w:t>
      </w:r>
      <w:r w:rsidRPr="0085443D">
        <w:t>.</w:t>
      </w:r>
      <w:r w:rsidR="00FE3C6E" w:rsidRPr="0085443D">
        <w:t>166</w:t>
      </w:r>
      <w:r w:rsidRPr="0085443D">
        <w:t xml:space="preserve"> domaćinstava gdje je pros</w:t>
      </w:r>
      <w:r w:rsidR="00FE3C6E" w:rsidRPr="0085443D">
        <w:t>ječan broj članova domaćinstva 2</w:t>
      </w:r>
      <w:r w:rsidRPr="0085443D">
        <w:t>,</w:t>
      </w:r>
      <w:r w:rsidR="00FE3C6E" w:rsidRPr="0085443D">
        <w:t>93</w:t>
      </w:r>
      <w:r w:rsidRPr="0085443D">
        <w:t xml:space="preserve">, a najviše je domaćinstava sa </w:t>
      </w:r>
      <w:r w:rsidR="00FE3C6E" w:rsidRPr="0085443D">
        <w:t>dva</w:t>
      </w:r>
      <w:r w:rsidRPr="0085443D">
        <w:t xml:space="preserve"> člana i to </w:t>
      </w:r>
      <w:r w:rsidR="00FE3C6E" w:rsidRPr="0085443D">
        <w:t>3.135</w:t>
      </w:r>
      <w:r w:rsidRPr="0085443D">
        <w:t xml:space="preserve"> domaćinstva. </w:t>
      </w:r>
    </w:p>
    <w:p w14:paraId="2989F2DE" w14:textId="77777777" w:rsidR="003B6B49" w:rsidRPr="0085443D" w:rsidRDefault="001A1F9F" w:rsidP="001A1F9F">
      <w:pPr>
        <w:spacing w:after="100"/>
        <w:jc w:val="both"/>
      </w:pPr>
      <w:r w:rsidRPr="0085443D">
        <w:lastRenderedPageBreak/>
        <w:t xml:space="preserve">U ukupnom broju stanovnika najviše je </w:t>
      </w:r>
      <w:r w:rsidR="00FE3C6E" w:rsidRPr="0085443D">
        <w:t>Srba</w:t>
      </w:r>
      <w:r w:rsidRPr="0085443D">
        <w:t xml:space="preserve"> i to </w:t>
      </w:r>
      <w:r w:rsidR="00FE3C6E" w:rsidRPr="0085443D">
        <w:t>29.478 ili 85</w:t>
      </w:r>
      <w:r w:rsidRPr="0085443D">
        <w:t>,</w:t>
      </w:r>
      <w:r w:rsidR="00FE3C6E" w:rsidRPr="0085443D">
        <w:t>80%</w:t>
      </w:r>
      <w:r w:rsidR="00E97C63" w:rsidRPr="0085443D">
        <w:t xml:space="preserve">, Bošnjaka </w:t>
      </w:r>
      <w:r w:rsidR="008F2DEA" w:rsidRPr="0085443D">
        <w:t xml:space="preserve">je </w:t>
      </w:r>
      <w:r w:rsidR="00E97C63" w:rsidRPr="0085443D">
        <w:t>2</w:t>
      </w:r>
      <w:r w:rsidR="003B6B49" w:rsidRPr="0085443D">
        <w:t>.</w:t>
      </w:r>
      <w:r w:rsidR="00E97C63" w:rsidRPr="0085443D">
        <w:t>749 ili 8,0</w:t>
      </w:r>
      <w:r w:rsidR="00684679" w:rsidRPr="0085443D">
        <w:t>0</w:t>
      </w:r>
      <w:r w:rsidR="00E97C63" w:rsidRPr="0085443D">
        <w:t>%, Hrvata 423 ili 1,23%, a 1</w:t>
      </w:r>
      <w:r w:rsidR="003B6B49" w:rsidRPr="0085443D">
        <w:t>.</w:t>
      </w:r>
      <w:r w:rsidR="00E97C63" w:rsidRPr="0085443D">
        <w:t xml:space="preserve">707 ili 4.97% </w:t>
      </w:r>
      <w:r w:rsidR="008F2DEA" w:rsidRPr="0085443D">
        <w:t xml:space="preserve">je </w:t>
      </w:r>
      <w:r w:rsidR="00E97C63" w:rsidRPr="0085443D">
        <w:t>ostalih (ne izjašnjavaju se, ostali i nepoznato)</w:t>
      </w:r>
      <w:r w:rsidR="00FE3C6E" w:rsidRPr="0085443D">
        <w:t xml:space="preserve">. </w:t>
      </w:r>
    </w:p>
    <w:p w14:paraId="2C36F3E2" w14:textId="77777777" w:rsidR="001A1F9F" w:rsidRPr="0085443D" w:rsidRDefault="001A1F9F" w:rsidP="001A1F9F">
      <w:pPr>
        <w:spacing w:after="100"/>
        <w:jc w:val="both"/>
      </w:pPr>
      <w:r w:rsidRPr="0085443D">
        <w:t xml:space="preserve">Starosna struktura stanovništva je sljedeća: od 0 do 14 godina </w:t>
      </w:r>
      <w:r w:rsidR="004A1AA5" w:rsidRPr="0085443D">
        <w:t>4.954</w:t>
      </w:r>
      <w:r w:rsidRPr="0085443D">
        <w:t xml:space="preserve"> stanovnika (</w:t>
      </w:r>
      <w:r w:rsidR="004A1AA5" w:rsidRPr="0085443D">
        <w:rPr>
          <w:rFonts w:eastAsia="Times New Roman" w:cs="Calibri"/>
          <w:color w:val="000000"/>
          <w:lang w:val="en-US"/>
        </w:rPr>
        <w:t>14.42</w:t>
      </w:r>
      <w:r w:rsidRPr="0085443D">
        <w:t xml:space="preserve">%), od 15 do 64 godine </w:t>
      </w:r>
      <w:r w:rsidR="004A1AA5" w:rsidRPr="0085443D">
        <w:rPr>
          <w:rFonts w:eastAsia="Times New Roman" w:cs="Calibri"/>
          <w:color w:val="000000"/>
          <w:lang w:val="en-US"/>
        </w:rPr>
        <w:t xml:space="preserve">22.628 </w:t>
      </w:r>
      <w:r w:rsidRPr="0085443D">
        <w:t>stanovnika (</w:t>
      </w:r>
      <w:r w:rsidR="004A1AA5" w:rsidRPr="0085443D">
        <w:rPr>
          <w:rFonts w:eastAsia="Times New Roman" w:cs="Calibri"/>
          <w:color w:val="000000"/>
          <w:lang w:val="en-US"/>
        </w:rPr>
        <w:t>65.86</w:t>
      </w:r>
      <w:r w:rsidRPr="0085443D">
        <w:t xml:space="preserve">%) i sa 65 i više godina je </w:t>
      </w:r>
      <w:r w:rsidR="004A1AA5" w:rsidRPr="0085443D">
        <w:rPr>
          <w:rFonts w:eastAsia="Times New Roman" w:cs="Calibri"/>
          <w:color w:val="000000"/>
          <w:lang w:val="en-US"/>
        </w:rPr>
        <w:t>6.775</w:t>
      </w:r>
      <w:r w:rsidRPr="0085443D">
        <w:t xml:space="preserve"> stanovnika (</w:t>
      </w:r>
      <w:r w:rsidR="004A1AA5" w:rsidRPr="0085443D">
        <w:rPr>
          <w:rFonts w:eastAsia="Times New Roman" w:cs="Calibri"/>
          <w:color w:val="000000"/>
          <w:lang w:val="en-US"/>
        </w:rPr>
        <w:t>19.72</w:t>
      </w:r>
      <w:r w:rsidRPr="0085443D">
        <w:t xml:space="preserve">%). Prosječna starost stanovništva je </w:t>
      </w:r>
      <w:r w:rsidR="004A1AA5" w:rsidRPr="0085443D">
        <w:t xml:space="preserve">42.31 </w:t>
      </w:r>
      <w:r w:rsidRPr="0085443D">
        <w:t xml:space="preserve">godina. </w:t>
      </w:r>
      <w:r w:rsidR="00B135CD" w:rsidRPr="0085443D">
        <w:t xml:space="preserve"> </w:t>
      </w:r>
      <w:r w:rsidR="00E97C63" w:rsidRPr="0085443D">
        <w:t xml:space="preserve"> </w:t>
      </w:r>
    </w:p>
    <w:p w14:paraId="5336F8A5" w14:textId="77777777" w:rsidR="00873FED" w:rsidRPr="0085443D" w:rsidRDefault="001A1F9F" w:rsidP="001A1F9F">
      <w:pPr>
        <w:spacing w:after="100"/>
        <w:jc w:val="both"/>
      </w:pPr>
      <w:r w:rsidRPr="0085443D">
        <w:t xml:space="preserve">U grupi stanovništva starog 15 i više godina prema najvišoj završenoj školi, najviše je osoba sa završenom srednjom školom i to </w:t>
      </w:r>
      <w:r w:rsidR="005C34C1" w:rsidRPr="0085443D">
        <w:t>12.669 i 112 sa specijalizacijom poslije srednje škole</w:t>
      </w:r>
      <w:r w:rsidRPr="0085443D">
        <w:t xml:space="preserve">, zatim sa završenom osnovnom školom </w:t>
      </w:r>
      <w:r w:rsidR="005C34C1" w:rsidRPr="0085443D">
        <w:t xml:space="preserve">7.504, dok je 670 sa višom školom ili prvim stepenom fakulteta, 1.336 sa </w:t>
      </w:r>
      <w:r w:rsidRPr="0085443D">
        <w:t xml:space="preserve">fakultetskim nivoom obrazovanja, </w:t>
      </w:r>
      <w:r w:rsidR="005C34C1" w:rsidRPr="0085443D">
        <w:t>2.654 stanovnika</w:t>
      </w:r>
      <w:r w:rsidRPr="0085443D">
        <w:t xml:space="preserve"> bez ikakvog obrazovanja, </w:t>
      </w:r>
      <w:r w:rsidR="005C34C1" w:rsidRPr="0085443D">
        <w:t xml:space="preserve">a 4.458 </w:t>
      </w:r>
      <w:r w:rsidRPr="0085443D">
        <w:t>sa n</w:t>
      </w:r>
      <w:r w:rsidR="005C34C1" w:rsidRPr="0085443D">
        <w:t>epotpunim osnovnim obrazovanjem</w:t>
      </w:r>
      <w:r w:rsidRPr="0085443D">
        <w:t xml:space="preserve">. </w:t>
      </w:r>
      <w:r w:rsidR="005C34C1" w:rsidRPr="0085443D">
        <w:t xml:space="preserve"> </w:t>
      </w:r>
    </w:p>
    <w:p w14:paraId="7EEDC015" w14:textId="500977DA" w:rsidR="009A792B" w:rsidRPr="0085443D" w:rsidRDefault="001A1F9F" w:rsidP="001A1F9F">
      <w:pPr>
        <w:spacing w:after="100"/>
        <w:jc w:val="both"/>
      </w:pPr>
      <w:r w:rsidRPr="0085443D">
        <w:t xml:space="preserve">Radno sposobnog stanovništva je </w:t>
      </w:r>
      <w:r w:rsidR="005C34C1" w:rsidRPr="0085443D">
        <w:t>29.403</w:t>
      </w:r>
      <w:r w:rsidRPr="0085443D">
        <w:t xml:space="preserve">, od toga </w:t>
      </w:r>
      <w:r w:rsidR="005C34C1" w:rsidRPr="0085443D">
        <w:t>14.149</w:t>
      </w:r>
      <w:r w:rsidRPr="0085443D">
        <w:t xml:space="preserve"> muškaraca i </w:t>
      </w:r>
      <w:r w:rsidR="005C34C1" w:rsidRPr="0085443D">
        <w:t>15.254</w:t>
      </w:r>
      <w:r w:rsidRPr="0085443D">
        <w:t xml:space="preserve"> žena. Zaposlenih je 1</w:t>
      </w:r>
      <w:r w:rsidR="005C34C1" w:rsidRPr="0085443D">
        <w:t>0</w:t>
      </w:r>
      <w:r w:rsidRPr="0085443D">
        <w:t>.13</w:t>
      </w:r>
      <w:r w:rsidR="005C34C1" w:rsidRPr="0085443D">
        <w:t>5</w:t>
      </w:r>
      <w:r w:rsidRPr="0085443D">
        <w:t xml:space="preserve">, a nezaposlenih </w:t>
      </w:r>
      <w:r w:rsidR="005C34C1" w:rsidRPr="0085443D">
        <w:t>2.193</w:t>
      </w:r>
      <w:r w:rsidRPr="0085443D">
        <w:t xml:space="preserve">. U grupi ekonomski neaktivnih stanovnika </w:t>
      </w:r>
      <w:r w:rsidR="00BE7E7D" w:rsidRPr="0085443D">
        <w:t>kojih je ukupno 17.075, najviše</w:t>
      </w:r>
      <w:r w:rsidRPr="0085443D">
        <w:t xml:space="preserve"> </w:t>
      </w:r>
      <w:r w:rsidR="008F2DEA" w:rsidRPr="0085443D">
        <w:t xml:space="preserve">je </w:t>
      </w:r>
      <w:r w:rsidRPr="0085443D">
        <w:t xml:space="preserve">lica koja obavljaju kućne poslove i to </w:t>
      </w:r>
      <w:r w:rsidR="00BE7E7D" w:rsidRPr="0085443D">
        <w:t>5.851, te 5.585</w:t>
      </w:r>
      <w:r w:rsidRPr="0085443D">
        <w:t xml:space="preserve"> penzionera i </w:t>
      </w:r>
      <w:r w:rsidR="00BE7E7D" w:rsidRPr="0085443D">
        <w:t>2.289</w:t>
      </w:r>
      <w:r w:rsidRPr="0085443D">
        <w:t xml:space="preserve"> učenika i studenata starih 15 i više godina</w:t>
      </w:r>
      <w:r w:rsidR="00BE7E7D" w:rsidRPr="0085443D">
        <w:t>, dok je 1.109 nesposobnih za rad i 2.241 ostalih</w:t>
      </w:r>
      <w:r w:rsidRPr="0085443D">
        <w:t xml:space="preserve">. </w:t>
      </w:r>
    </w:p>
    <w:p w14:paraId="01EEE649" w14:textId="778ECEFE" w:rsidR="001A1F9F" w:rsidRPr="0085443D" w:rsidRDefault="009A792B" w:rsidP="001A1F9F">
      <w:pPr>
        <w:spacing w:after="100"/>
        <w:jc w:val="both"/>
      </w:pPr>
      <w:r w:rsidRPr="0085443D">
        <w:t>Broj domaćinstava koja obavljaju poljoprivrednu aktivnost je 6.121, dok je broj domaćinstava koja obavljaju poljoprivrednu aktivnost i prodaju proizvode na tržištu 986.</w:t>
      </w:r>
      <w:r w:rsidR="00ED0423" w:rsidRPr="0085443D">
        <w:t xml:space="preserve"> </w:t>
      </w:r>
    </w:p>
    <w:p w14:paraId="45052D5A" w14:textId="77777777" w:rsidR="00321541" w:rsidRPr="0085443D" w:rsidRDefault="00321541" w:rsidP="003765EA">
      <w:pPr>
        <w:spacing w:after="100"/>
        <w:jc w:val="both"/>
      </w:pPr>
      <w:r w:rsidRPr="0085443D">
        <w:t xml:space="preserve">Prirodni priraštaj </w:t>
      </w:r>
      <w:r w:rsidR="00855ECB">
        <w:t>stanovni</w:t>
      </w:r>
      <w:r w:rsidR="00855ECB">
        <w:rPr>
          <w:lang w:val="bs-Latn-BA"/>
        </w:rPr>
        <w:t xml:space="preserve">štva </w:t>
      </w:r>
      <w:r w:rsidRPr="0085443D">
        <w:t xml:space="preserve">je </w:t>
      </w:r>
      <w:r w:rsidR="00ED0423" w:rsidRPr="0085443D">
        <w:t>već nekoliko godina</w:t>
      </w:r>
      <w:r w:rsidRPr="0085443D">
        <w:t xml:space="preserve"> negativan: 2013. godine  minus 172  (- 5,01 promila), 2014. godine minus</w:t>
      </w:r>
      <w:r w:rsidR="00D54E1A" w:rsidRPr="0085443D">
        <w:t xml:space="preserve"> 159 </w:t>
      </w:r>
      <w:r w:rsidRPr="0085443D">
        <w:t>(- 4,63 promila), a 2015. godine minus 223 (- 6,49 promila). Osim toga, kad se govori o unutrašnjim migracijama, migracioni saldo 2013. godine je pozitivan (2, sa 194 stanovnika doseljenih u opštinu, a 192 odseljenih u druge opštine unutar BiH), dok je 2014. godine negativan, minus 54 (155 doseljeno, 209 odseljeno), kao i 2015. godine kad je bio minus 13 (175 doseljeno, 188 odseljeno).</w:t>
      </w:r>
      <w:r w:rsidRPr="0085443D">
        <w:rPr>
          <w:rStyle w:val="FootnoteReference"/>
        </w:rPr>
        <w:footnoteReference w:id="2"/>
      </w:r>
    </w:p>
    <w:p w14:paraId="72A99D54" w14:textId="4915562B" w:rsidR="002D1C12" w:rsidRPr="0085443D" w:rsidRDefault="002D1C12" w:rsidP="002D1C12">
      <w:pPr>
        <w:jc w:val="both"/>
      </w:pPr>
      <w:r w:rsidRPr="0085443D">
        <w:t xml:space="preserve">Kada se govori o građanima Prnjavora u dijaspori, treba napomenuti uspostavljanje Mreže za saradnju </w:t>
      </w:r>
      <w:r w:rsidRPr="0085443D">
        <w:rPr>
          <w:rFonts w:cs="Arial"/>
          <w:lang w:val="hr-HR"/>
        </w:rPr>
        <w:t xml:space="preserve">sa ljudima koji vode porijeklo iz Prnjavora, a žive u Republici Srbiji, za koje </w:t>
      </w:r>
      <w:r w:rsidR="00CB31D0" w:rsidRPr="00CB31D0">
        <w:rPr>
          <w:rFonts w:cs="Arial"/>
          <w:highlight w:val="cyan"/>
          <w:lang w:val="hr-HR"/>
        </w:rPr>
        <w:t>s</w:t>
      </w:r>
      <w:r w:rsidR="00CB31D0" w:rsidRPr="00CB31D0">
        <w:rPr>
          <w:rFonts w:cs="Arial"/>
          <w:highlight w:val="cyan"/>
        </w:rPr>
        <w:t>u</w:t>
      </w:r>
      <w:r w:rsidR="00CB31D0" w:rsidRPr="00CB31D0">
        <w:rPr>
          <w:rFonts w:cs="Arial"/>
          <w:highlight w:val="cyan"/>
          <w:lang w:val="hr-HR"/>
        </w:rPr>
        <w:t xml:space="preserve"> u periodu 2013-2015. godina organizovani Dani Prnjavora u Beogradu</w:t>
      </w:r>
      <w:r w:rsidRPr="0085443D">
        <w:rPr>
          <w:rFonts w:cs="Arial"/>
          <w:lang w:val="hr-HR"/>
        </w:rPr>
        <w:t xml:space="preserve">. U pogledu izgradnje sistema redovne komunikacije i saradnje sa poslovnom dijasporom u ostalim zemljama, nije bilo predviđenih niti naknadno realizovanih strateških intervencija u pogledu uspostavljanja namjenske baze podataka, servisnih usluga i web stranice za građane koji se bave poslovnim ili akademskim djelatnostima u dijaspori, a u svrhu </w:t>
      </w:r>
      <w:r w:rsidR="004C7829" w:rsidRPr="00CE584D">
        <w:rPr>
          <w:rFonts w:cs="Arial"/>
          <w:highlight w:val="cyan"/>
          <w:lang w:val="hr-HR"/>
        </w:rPr>
        <w:t>jačanja povezanosti dijaspore sa mjestom por</w:t>
      </w:r>
      <w:r w:rsidR="0037285E" w:rsidRPr="00CE584D">
        <w:rPr>
          <w:rFonts w:cs="Arial"/>
          <w:highlight w:val="cyan"/>
          <w:lang w:val="hr-HR"/>
        </w:rPr>
        <w:t>i</w:t>
      </w:r>
      <w:r w:rsidR="004C7829" w:rsidRPr="00CE584D">
        <w:rPr>
          <w:rFonts w:cs="Arial"/>
          <w:highlight w:val="cyan"/>
          <w:lang w:val="hr-HR"/>
        </w:rPr>
        <w:t>jekla</w:t>
      </w:r>
      <w:r w:rsidR="004C7829">
        <w:rPr>
          <w:rFonts w:cs="Arial"/>
          <w:lang w:val="hr-HR"/>
        </w:rPr>
        <w:t xml:space="preserve"> te </w:t>
      </w:r>
      <w:r w:rsidRPr="0085443D">
        <w:rPr>
          <w:rFonts w:cs="Arial"/>
          <w:lang w:val="hr-HR"/>
        </w:rPr>
        <w:t>privlačenja ulaganja iz dijaspore</w:t>
      </w:r>
      <w:r w:rsidR="00E936CF" w:rsidRPr="0085443D">
        <w:rPr>
          <w:rFonts w:cs="Arial"/>
          <w:lang w:val="hr-HR"/>
        </w:rPr>
        <w:t>, pa je potrebno implementirati aktivnosti u ovoj oblasti u narednom periodu</w:t>
      </w:r>
      <w:r w:rsidRPr="0085443D">
        <w:rPr>
          <w:rFonts w:cs="Arial"/>
          <w:lang w:val="hr-HR"/>
        </w:rPr>
        <w:t>.</w:t>
      </w:r>
    </w:p>
    <w:p w14:paraId="700582DE" w14:textId="0953C75A" w:rsidR="002B504A" w:rsidRPr="0085443D" w:rsidRDefault="009A792B" w:rsidP="00873FED">
      <w:pPr>
        <w:spacing w:after="100"/>
        <w:jc w:val="both"/>
      </w:pPr>
      <w:r w:rsidRPr="0085443D">
        <w:t xml:space="preserve">U vezi sa demografskim kretanjima, posebnu pažnju treba posvetiti </w:t>
      </w:r>
      <w:r w:rsidR="00282838" w:rsidRPr="00282838">
        <w:rPr>
          <w:highlight w:val="cyan"/>
        </w:rPr>
        <w:t>činjenici da</w:t>
      </w:r>
      <w:r w:rsidRPr="00282838">
        <w:rPr>
          <w:highlight w:val="cyan"/>
        </w:rPr>
        <w:t xml:space="preserve"> </w:t>
      </w:r>
      <w:r w:rsidR="00282838" w:rsidRPr="00282838">
        <w:rPr>
          <w:highlight w:val="cyan"/>
        </w:rPr>
        <w:t>je prirodni priraštaj negativan, kao i migracioni saldo</w:t>
      </w:r>
      <w:r w:rsidRPr="0085443D">
        <w:t xml:space="preserve">, što ukazuje na potrebu unapređenja atraktivnosti lokalne zajednice za život i rad. </w:t>
      </w:r>
      <w:r w:rsidR="001A1F9F" w:rsidRPr="0085443D">
        <w:t>Takođe, treba napomenuti da mali dio domaćinstava koji se bavi poljoprivredom prodaje proizvode na tržištu, dok je u grupi ekonomski neaktivnih stanovnika najviše lica koja obavljaju kućne poslove, pa se mogu razmotriti mjere za povećanje stepena orijentacije poljoprivredne proizvodnje prema tržištu.</w:t>
      </w:r>
    </w:p>
    <w:p w14:paraId="1E7A7975" w14:textId="77777777" w:rsidR="003B497A" w:rsidRPr="0085443D" w:rsidRDefault="003B497A" w:rsidP="003B497A">
      <w:pPr>
        <w:spacing w:after="80"/>
        <w:rPr>
          <w:b/>
          <w:u w:val="single"/>
        </w:rPr>
      </w:pPr>
    </w:p>
    <w:p w14:paraId="5B924C41" w14:textId="77777777" w:rsidR="003B497A" w:rsidRPr="0085443D" w:rsidRDefault="00D6421B" w:rsidP="003B497A">
      <w:pPr>
        <w:spacing w:after="80"/>
        <w:rPr>
          <w:b/>
          <w:u w:val="single"/>
        </w:rPr>
      </w:pPr>
      <w:hyperlink w:anchor="_Toc443859773" w:history="1">
        <w:r w:rsidR="003B497A" w:rsidRPr="0085443D">
          <w:rPr>
            <w:b/>
            <w:u w:val="single"/>
          </w:rPr>
          <w:t>Pr</w:t>
        </w:r>
        <w:r w:rsidR="007B3DED" w:rsidRPr="0085443D">
          <w:rPr>
            <w:b/>
            <w:u w:val="single"/>
          </w:rPr>
          <w:t>e</w:t>
        </w:r>
        <w:r w:rsidR="003B497A" w:rsidRPr="0085443D">
          <w:rPr>
            <w:b/>
            <w:u w:val="single"/>
          </w:rPr>
          <w:t>gl</w:t>
        </w:r>
        <w:r w:rsidR="007B3DED" w:rsidRPr="0085443D">
          <w:rPr>
            <w:b/>
            <w:u w:val="single"/>
          </w:rPr>
          <w:t>e</w:t>
        </w:r>
        <w:r w:rsidR="003B497A" w:rsidRPr="0085443D">
          <w:rPr>
            <w:b/>
            <w:u w:val="single"/>
          </w:rPr>
          <w:t>d st</w:t>
        </w:r>
        <w:r w:rsidR="007B3DED" w:rsidRPr="0085443D">
          <w:rPr>
            <w:b/>
            <w:u w:val="single"/>
          </w:rPr>
          <w:t>a</w:t>
        </w:r>
        <w:r w:rsidR="003B497A" w:rsidRPr="0085443D">
          <w:rPr>
            <w:b/>
            <w:u w:val="single"/>
          </w:rPr>
          <w:t>nj</w:t>
        </w:r>
        <w:r w:rsidR="007B3DED" w:rsidRPr="0085443D">
          <w:rPr>
            <w:b/>
            <w:u w:val="single"/>
          </w:rPr>
          <w:t>a</w:t>
        </w:r>
        <w:r w:rsidR="003B497A" w:rsidRPr="0085443D">
          <w:rPr>
            <w:b/>
            <w:u w:val="single"/>
          </w:rPr>
          <w:t xml:space="preserve"> i kr</w:t>
        </w:r>
        <w:r w:rsidR="007B3DED" w:rsidRPr="0085443D">
          <w:rPr>
            <w:b/>
            <w:u w:val="single"/>
          </w:rPr>
          <w:t>e</w:t>
        </w:r>
        <w:r w:rsidR="003B497A" w:rsidRPr="0085443D">
          <w:rPr>
            <w:b/>
            <w:u w:val="single"/>
          </w:rPr>
          <w:t>t</w:t>
        </w:r>
        <w:r w:rsidR="007B3DED" w:rsidRPr="0085443D">
          <w:rPr>
            <w:b/>
            <w:u w:val="single"/>
          </w:rPr>
          <w:t>a</w:t>
        </w:r>
        <w:r w:rsidR="003B497A" w:rsidRPr="0085443D">
          <w:rPr>
            <w:b/>
            <w:u w:val="single"/>
          </w:rPr>
          <w:t>nj</w:t>
        </w:r>
        <w:r w:rsidR="007B3DED" w:rsidRPr="0085443D">
          <w:rPr>
            <w:b/>
            <w:u w:val="single"/>
          </w:rPr>
          <w:t>a</w:t>
        </w:r>
        <w:r w:rsidR="003B497A" w:rsidRPr="0085443D">
          <w:rPr>
            <w:b/>
            <w:u w:val="single"/>
          </w:rPr>
          <w:t xml:space="preserve"> u l</w:t>
        </w:r>
        <w:r w:rsidR="007B3DED" w:rsidRPr="0085443D">
          <w:rPr>
            <w:b/>
            <w:u w:val="single"/>
          </w:rPr>
          <w:t>o</w:t>
        </w:r>
        <w:r w:rsidR="003B497A" w:rsidRPr="0085443D">
          <w:rPr>
            <w:b/>
            <w:u w:val="single"/>
          </w:rPr>
          <w:t>k</w:t>
        </w:r>
        <w:r w:rsidR="007B3DED" w:rsidRPr="0085443D">
          <w:rPr>
            <w:b/>
            <w:u w:val="single"/>
          </w:rPr>
          <w:t>a</w:t>
        </w:r>
        <w:r w:rsidR="003B497A" w:rsidRPr="0085443D">
          <w:rPr>
            <w:b/>
            <w:u w:val="single"/>
          </w:rPr>
          <w:t>ln</w:t>
        </w:r>
        <w:r w:rsidR="007B3DED" w:rsidRPr="0085443D">
          <w:rPr>
            <w:b/>
            <w:u w:val="single"/>
          </w:rPr>
          <w:t>oj</w:t>
        </w:r>
        <w:r w:rsidR="003B497A" w:rsidRPr="0085443D">
          <w:rPr>
            <w:b/>
            <w:u w:val="single"/>
          </w:rPr>
          <w:t xml:space="preserve"> </w:t>
        </w:r>
        <w:r w:rsidR="007B3DED" w:rsidRPr="0085443D">
          <w:rPr>
            <w:b/>
            <w:u w:val="single"/>
          </w:rPr>
          <w:t>e</w:t>
        </w:r>
        <w:r w:rsidR="003B497A" w:rsidRPr="0085443D">
          <w:rPr>
            <w:b/>
            <w:u w:val="single"/>
          </w:rPr>
          <w:t>k</w:t>
        </w:r>
        <w:r w:rsidR="007B3DED" w:rsidRPr="0085443D">
          <w:rPr>
            <w:b/>
            <w:u w:val="single"/>
          </w:rPr>
          <w:t>o</w:t>
        </w:r>
        <w:r w:rsidR="003B497A" w:rsidRPr="0085443D">
          <w:rPr>
            <w:b/>
            <w:u w:val="single"/>
          </w:rPr>
          <w:t>n</w:t>
        </w:r>
        <w:r w:rsidR="007B3DED" w:rsidRPr="0085443D">
          <w:rPr>
            <w:b/>
            <w:u w:val="single"/>
          </w:rPr>
          <w:t>o</w:t>
        </w:r>
        <w:r w:rsidR="003B497A" w:rsidRPr="0085443D">
          <w:rPr>
            <w:b/>
            <w:u w:val="single"/>
          </w:rPr>
          <w:t>mi</w:t>
        </w:r>
        <w:r w:rsidR="007B3DED" w:rsidRPr="0085443D">
          <w:rPr>
            <w:b/>
            <w:u w:val="single"/>
          </w:rPr>
          <w:t>j</w:t>
        </w:r>
        <w:r w:rsidR="003B497A" w:rsidRPr="0085443D">
          <w:rPr>
            <w:b/>
            <w:u w:val="single"/>
          </w:rPr>
          <w:t>i</w:t>
        </w:r>
      </w:hyperlink>
      <w:r w:rsidR="001319E9" w:rsidRPr="0085443D">
        <w:rPr>
          <w:b/>
          <w:u w:val="single"/>
        </w:rPr>
        <w:t xml:space="preserve"> </w:t>
      </w:r>
    </w:p>
    <w:p w14:paraId="6829E126" w14:textId="77777777" w:rsidR="00F423CA" w:rsidRPr="0085443D" w:rsidRDefault="005923C6" w:rsidP="00F423CA">
      <w:pPr>
        <w:rPr>
          <w:b/>
          <w:lang w:val="sr-Cyrl-BA"/>
        </w:rPr>
      </w:pPr>
      <w:r w:rsidRPr="0085443D">
        <w:rPr>
          <w:b/>
        </w:rPr>
        <w:t>Broj</w:t>
      </w:r>
      <w:r w:rsidR="00F423CA" w:rsidRPr="0085443D">
        <w:rPr>
          <w:b/>
        </w:rPr>
        <w:t xml:space="preserve"> </w:t>
      </w:r>
      <w:r w:rsidRPr="0085443D">
        <w:rPr>
          <w:b/>
          <w:lang w:val="sr-Cyrl-BA"/>
        </w:rPr>
        <w:t>privrednih</w:t>
      </w:r>
      <w:r w:rsidR="00F423CA" w:rsidRPr="0085443D">
        <w:rPr>
          <w:b/>
          <w:lang w:val="sr-Cyrl-BA"/>
        </w:rPr>
        <w:t xml:space="preserve"> </w:t>
      </w:r>
      <w:r w:rsidRPr="0085443D">
        <w:rPr>
          <w:b/>
          <w:lang w:val="sr-Cyrl-BA"/>
        </w:rPr>
        <w:t>subjekata</w:t>
      </w:r>
      <w:r w:rsidR="00F423CA" w:rsidRPr="0085443D">
        <w:rPr>
          <w:b/>
          <w:lang w:val="sr-Cyrl-BA"/>
        </w:rPr>
        <w:t xml:space="preserve"> </w:t>
      </w:r>
      <w:r w:rsidRPr="0085443D">
        <w:rPr>
          <w:b/>
          <w:lang w:val="sr-Cyrl-BA"/>
        </w:rPr>
        <w:t>na</w:t>
      </w:r>
      <w:r w:rsidR="00F423CA" w:rsidRPr="0085443D">
        <w:rPr>
          <w:b/>
          <w:lang w:val="sr-Cyrl-BA"/>
        </w:rPr>
        <w:t xml:space="preserve"> </w:t>
      </w:r>
      <w:r w:rsidRPr="0085443D">
        <w:rPr>
          <w:b/>
          <w:lang w:val="sr-Cyrl-BA"/>
        </w:rPr>
        <w:t>području</w:t>
      </w:r>
      <w:r w:rsidR="00F423CA" w:rsidRPr="0085443D">
        <w:rPr>
          <w:b/>
          <w:lang w:val="sr-Cyrl-BA"/>
        </w:rPr>
        <w:t xml:space="preserve"> </w:t>
      </w:r>
      <w:r w:rsidRPr="0085443D">
        <w:rPr>
          <w:b/>
          <w:lang w:val="sr-Cyrl-BA"/>
        </w:rPr>
        <w:t>opštine</w:t>
      </w:r>
      <w:r w:rsidR="00F423CA" w:rsidRPr="0085443D">
        <w:rPr>
          <w:b/>
          <w:lang w:val="sr-Cyrl-BA"/>
        </w:rPr>
        <w:t xml:space="preserve"> </w:t>
      </w:r>
      <w:r w:rsidRPr="0085443D">
        <w:rPr>
          <w:b/>
          <w:lang w:val="sr-Cyrl-BA"/>
        </w:rPr>
        <w:t>Prnjavor</w:t>
      </w:r>
      <w:r w:rsidR="00F423CA" w:rsidRPr="0085443D">
        <w:rPr>
          <w:b/>
          <w:lang w:val="sr-Cyrl-BA"/>
        </w:rPr>
        <w:t xml:space="preserve"> 2012-201</w:t>
      </w:r>
      <w:r w:rsidR="00494631" w:rsidRPr="0085443D">
        <w:rPr>
          <w:b/>
        </w:rPr>
        <w:t>6</w:t>
      </w:r>
      <w:r w:rsidR="00F423CA" w:rsidRPr="0085443D">
        <w:rPr>
          <w:b/>
          <w:lang w:val="sr-Cyrl-BA"/>
        </w:rPr>
        <w:t xml:space="preserve">. </w:t>
      </w:r>
      <w:r w:rsidRPr="0085443D">
        <w:rPr>
          <w:b/>
          <w:lang w:val="sr-Cyrl-BA"/>
        </w:rPr>
        <w:t>godina</w:t>
      </w: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247"/>
        <w:gridCol w:w="1247"/>
        <w:gridCol w:w="1247"/>
        <w:gridCol w:w="1247"/>
        <w:gridCol w:w="1248"/>
      </w:tblGrid>
      <w:tr w:rsidR="007728C7" w:rsidRPr="0085443D" w14:paraId="566B6E2C" w14:textId="77777777" w:rsidTr="004946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right w:val="none" w:sz="0" w:space="0" w:color="auto"/>
            </w:tcBorders>
          </w:tcPr>
          <w:p w14:paraId="29AF5250" w14:textId="77777777" w:rsidR="007728C7" w:rsidRPr="0085443D" w:rsidRDefault="007728C7" w:rsidP="00A02EC1">
            <w:pPr>
              <w:rPr>
                <w:color w:val="auto"/>
                <w:lang w:val="sr-Cyrl-BA"/>
              </w:rPr>
            </w:pPr>
            <w:r w:rsidRPr="0085443D">
              <w:rPr>
                <w:color w:val="auto"/>
                <w:lang w:val="sr-Cyrl-BA"/>
              </w:rPr>
              <w:t>Godina</w:t>
            </w:r>
          </w:p>
        </w:tc>
        <w:tc>
          <w:tcPr>
            <w:tcW w:w="1247" w:type="dxa"/>
            <w:tcBorders>
              <w:top w:val="none" w:sz="0" w:space="0" w:color="auto"/>
              <w:left w:val="none" w:sz="0" w:space="0" w:color="auto"/>
              <w:right w:val="none" w:sz="0" w:space="0" w:color="auto"/>
            </w:tcBorders>
          </w:tcPr>
          <w:p w14:paraId="45F582EE" w14:textId="77777777" w:rsidR="007728C7" w:rsidRPr="0085443D" w:rsidRDefault="007728C7" w:rsidP="00A02EC1">
            <w:pPr>
              <w:jc w:val="cente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2012.</w:t>
            </w:r>
          </w:p>
        </w:tc>
        <w:tc>
          <w:tcPr>
            <w:tcW w:w="1247" w:type="dxa"/>
            <w:tcBorders>
              <w:top w:val="none" w:sz="0" w:space="0" w:color="auto"/>
              <w:left w:val="none" w:sz="0" w:space="0" w:color="auto"/>
              <w:right w:val="none" w:sz="0" w:space="0" w:color="auto"/>
            </w:tcBorders>
          </w:tcPr>
          <w:p w14:paraId="76ACC351" w14:textId="77777777" w:rsidR="007728C7" w:rsidRPr="0085443D" w:rsidRDefault="007728C7" w:rsidP="00A02EC1">
            <w:pPr>
              <w:jc w:val="cente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2013.</w:t>
            </w:r>
          </w:p>
        </w:tc>
        <w:tc>
          <w:tcPr>
            <w:tcW w:w="1247" w:type="dxa"/>
            <w:tcBorders>
              <w:top w:val="none" w:sz="0" w:space="0" w:color="auto"/>
              <w:left w:val="none" w:sz="0" w:space="0" w:color="auto"/>
              <w:right w:val="none" w:sz="0" w:space="0" w:color="auto"/>
            </w:tcBorders>
          </w:tcPr>
          <w:p w14:paraId="5CCDF8FA" w14:textId="77777777" w:rsidR="007728C7" w:rsidRPr="0085443D" w:rsidRDefault="007728C7" w:rsidP="00A02EC1">
            <w:pPr>
              <w:jc w:val="cente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2014.</w:t>
            </w:r>
          </w:p>
        </w:tc>
        <w:tc>
          <w:tcPr>
            <w:tcW w:w="1247" w:type="dxa"/>
            <w:tcBorders>
              <w:top w:val="none" w:sz="0" w:space="0" w:color="auto"/>
              <w:left w:val="none" w:sz="0" w:space="0" w:color="auto"/>
              <w:right w:val="none" w:sz="0" w:space="0" w:color="auto"/>
            </w:tcBorders>
          </w:tcPr>
          <w:p w14:paraId="64D58714" w14:textId="77777777" w:rsidR="007728C7" w:rsidRPr="0085443D" w:rsidRDefault="007728C7" w:rsidP="00A02EC1">
            <w:pPr>
              <w:jc w:val="cente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2015.</w:t>
            </w:r>
          </w:p>
        </w:tc>
        <w:tc>
          <w:tcPr>
            <w:tcW w:w="1248" w:type="dxa"/>
            <w:tcBorders>
              <w:top w:val="none" w:sz="0" w:space="0" w:color="auto"/>
              <w:left w:val="none" w:sz="0" w:space="0" w:color="auto"/>
              <w:right w:val="none" w:sz="0" w:space="0" w:color="auto"/>
            </w:tcBorders>
          </w:tcPr>
          <w:p w14:paraId="6EABF88F" w14:textId="77777777" w:rsidR="007728C7" w:rsidRPr="0085443D" w:rsidRDefault="007728C7" w:rsidP="00A02EC1">
            <w:pPr>
              <w:jc w:val="center"/>
              <w:cnfStyle w:val="100000000000" w:firstRow="1" w:lastRow="0" w:firstColumn="0" w:lastColumn="0" w:oddVBand="0" w:evenVBand="0" w:oddHBand="0" w:evenHBand="0" w:firstRowFirstColumn="0" w:firstRowLastColumn="0" w:lastRowFirstColumn="0" w:lastRowLastColumn="0"/>
              <w:rPr>
                <w:lang w:val="sr-Cyrl-BA"/>
              </w:rPr>
            </w:pPr>
            <w:r w:rsidRPr="002B2AB2">
              <w:rPr>
                <w:color w:val="auto"/>
                <w:lang w:val="sr-Cyrl-BA"/>
              </w:rPr>
              <w:t>2016.</w:t>
            </w:r>
          </w:p>
        </w:tc>
      </w:tr>
      <w:tr w:rsidR="007728C7" w:rsidRPr="0085443D" w14:paraId="26667F1B" w14:textId="77777777" w:rsidTr="0049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left w:val="none" w:sz="0" w:space="0" w:color="auto"/>
              <w:bottom w:val="none" w:sz="0" w:space="0" w:color="auto"/>
            </w:tcBorders>
          </w:tcPr>
          <w:p w14:paraId="726E814C" w14:textId="77777777" w:rsidR="007728C7" w:rsidRPr="0085443D" w:rsidRDefault="007728C7" w:rsidP="00A02EC1">
            <w:pPr>
              <w:rPr>
                <w:color w:val="auto"/>
                <w:lang w:val="sr-Cyrl-BA"/>
              </w:rPr>
            </w:pPr>
            <w:r w:rsidRPr="0085443D">
              <w:rPr>
                <w:color w:val="auto"/>
                <w:lang w:val="sr-Cyrl-BA"/>
              </w:rPr>
              <w:t>Broj poslovnih subjekata</w:t>
            </w:r>
          </w:p>
        </w:tc>
        <w:tc>
          <w:tcPr>
            <w:tcW w:w="1247" w:type="dxa"/>
          </w:tcPr>
          <w:p w14:paraId="14632F5B" w14:textId="77777777" w:rsidR="007728C7" w:rsidRPr="0085443D" w:rsidRDefault="007728C7" w:rsidP="00A02EC1">
            <w:pPr>
              <w:jc w:val="cente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620</w:t>
            </w:r>
          </w:p>
        </w:tc>
        <w:tc>
          <w:tcPr>
            <w:tcW w:w="1247" w:type="dxa"/>
          </w:tcPr>
          <w:p w14:paraId="3C1C7B85" w14:textId="77777777" w:rsidR="007728C7" w:rsidRPr="0085443D" w:rsidRDefault="007728C7" w:rsidP="00A02EC1">
            <w:pPr>
              <w:jc w:val="cente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599</w:t>
            </w:r>
          </w:p>
        </w:tc>
        <w:tc>
          <w:tcPr>
            <w:tcW w:w="1247" w:type="dxa"/>
          </w:tcPr>
          <w:p w14:paraId="2BBB5F68" w14:textId="77777777" w:rsidR="007728C7" w:rsidRPr="0085443D" w:rsidRDefault="007728C7" w:rsidP="00A02EC1">
            <w:pPr>
              <w:jc w:val="cente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618</w:t>
            </w:r>
          </w:p>
        </w:tc>
        <w:tc>
          <w:tcPr>
            <w:tcW w:w="1247" w:type="dxa"/>
          </w:tcPr>
          <w:p w14:paraId="4E47D433" w14:textId="77777777" w:rsidR="007728C7" w:rsidRPr="0085443D" w:rsidRDefault="007728C7" w:rsidP="00A02EC1">
            <w:pPr>
              <w:jc w:val="cente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646</w:t>
            </w:r>
          </w:p>
        </w:tc>
        <w:tc>
          <w:tcPr>
            <w:tcW w:w="1248" w:type="dxa"/>
          </w:tcPr>
          <w:p w14:paraId="34A483F1" w14:textId="1AA2A8E4" w:rsidR="007728C7" w:rsidRPr="0085443D" w:rsidRDefault="002B2AB2" w:rsidP="00A02EC1">
            <w:pPr>
              <w:jc w:val="center"/>
              <w:cnfStyle w:val="000000100000" w:firstRow="0" w:lastRow="0" w:firstColumn="0" w:lastColumn="0" w:oddVBand="0" w:evenVBand="0" w:oddHBand="1" w:evenHBand="0" w:firstRowFirstColumn="0" w:firstRowLastColumn="0" w:lastRowFirstColumn="0" w:lastRowLastColumn="0"/>
              <w:rPr>
                <w:lang w:val="sr-Cyrl-BA"/>
              </w:rPr>
            </w:pPr>
            <w:r w:rsidRPr="002B2AB2">
              <w:rPr>
                <w:highlight w:val="cyan"/>
              </w:rPr>
              <w:t>242+635</w:t>
            </w:r>
            <w:r w:rsidRPr="002B2AB2">
              <w:rPr>
                <w:rStyle w:val="FootnoteReference"/>
                <w:highlight w:val="cyan"/>
              </w:rPr>
              <w:footnoteReference w:id="3"/>
            </w:r>
          </w:p>
        </w:tc>
      </w:tr>
    </w:tbl>
    <w:p w14:paraId="4526FE62" w14:textId="77777777" w:rsidR="00F423CA" w:rsidRPr="0085443D" w:rsidRDefault="005923C6" w:rsidP="00F423CA">
      <w:pPr>
        <w:rPr>
          <w:i/>
          <w:sz w:val="20"/>
          <w:szCs w:val="18"/>
          <w:lang w:val="sr-Cyrl-BA"/>
        </w:rPr>
      </w:pPr>
      <w:r w:rsidRPr="0085443D">
        <w:rPr>
          <w:i/>
          <w:sz w:val="20"/>
          <w:szCs w:val="18"/>
          <w:lang w:val="sr-Cyrl-BA"/>
        </w:rPr>
        <w:t>Izvor</w:t>
      </w:r>
      <w:r w:rsidR="00F423CA" w:rsidRPr="0085443D">
        <w:rPr>
          <w:i/>
          <w:sz w:val="20"/>
          <w:szCs w:val="18"/>
          <w:lang w:val="sr-Cyrl-BA"/>
        </w:rPr>
        <w:t xml:space="preserve">: </w:t>
      </w:r>
      <w:r w:rsidRPr="0085443D">
        <w:rPr>
          <w:i/>
          <w:sz w:val="20"/>
          <w:szCs w:val="18"/>
          <w:lang w:val="sr-Cyrl-BA"/>
        </w:rPr>
        <w:t>Statistički</w:t>
      </w:r>
      <w:r w:rsidR="00F423CA" w:rsidRPr="0085443D">
        <w:rPr>
          <w:i/>
          <w:sz w:val="20"/>
          <w:szCs w:val="18"/>
          <w:lang w:val="sr-Cyrl-BA"/>
        </w:rPr>
        <w:t xml:space="preserve"> </w:t>
      </w:r>
      <w:r w:rsidRPr="0085443D">
        <w:rPr>
          <w:i/>
          <w:sz w:val="20"/>
          <w:szCs w:val="18"/>
          <w:lang w:val="sr-Cyrl-BA"/>
        </w:rPr>
        <w:t>godišnjak</w:t>
      </w:r>
      <w:r w:rsidR="00F423CA" w:rsidRPr="0085443D">
        <w:rPr>
          <w:i/>
          <w:sz w:val="20"/>
          <w:szCs w:val="18"/>
          <w:lang w:val="sr-Cyrl-BA"/>
        </w:rPr>
        <w:t xml:space="preserve"> </w:t>
      </w:r>
      <w:r w:rsidRPr="0085443D">
        <w:rPr>
          <w:i/>
          <w:sz w:val="20"/>
          <w:szCs w:val="18"/>
          <w:lang w:val="sr-Cyrl-BA"/>
        </w:rPr>
        <w:t>RS</w:t>
      </w:r>
      <w:r w:rsidR="00F423CA" w:rsidRPr="0085443D">
        <w:rPr>
          <w:i/>
          <w:sz w:val="20"/>
          <w:szCs w:val="18"/>
          <w:lang w:val="sr-Cyrl-BA"/>
        </w:rPr>
        <w:t xml:space="preserve"> 2016.</w:t>
      </w:r>
    </w:p>
    <w:p w14:paraId="03F9CBB3" w14:textId="77777777" w:rsidR="00395DE7" w:rsidRPr="0085443D" w:rsidRDefault="00395DE7" w:rsidP="00395DE7">
      <w:pPr>
        <w:spacing w:after="100"/>
        <w:jc w:val="both"/>
      </w:pPr>
      <w:r w:rsidRPr="0085443D">
        <w:lastRenderedPageBreak/>
        <w:t>U pogledu broja poslovnih subjekata, može se uočiti pad u 2013. u odnosu na 2012. godinu, ali od 2013. godine broj poslovnih subjekata je u porastu, što ukazuje na dinamičnu lokalnu privredu kao i na efekte unapređenja poslovnog okruženja.</w:t>
      </w:r>
    </w:p>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360"/>
        <w:gridCol w:w="2930"/>
      </w:tblGrid>
      <w:tr w:rsidR="00267D38" w:rsidRPr="0085443D" w14:paraId="53AD2B10" w14:textId="77777777" w:rsidTr="00267D3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right w:val="none" w:sz="0" w:space="0" w:color="auto"/>
            </w:tcBorders>
            <w:hideMark/>
          </w:tcPr>
          <w:p w14:paraId="21083A31" w14:textId="77777777" w:rsidR="00F423CA" w:rsidRPr="0085443D" w:rsidRDefault="005923C6" w:rsidP="00267D38">
            <w:pPr>
              <w:jc w:val="center"/>
              <w:rPr>
                <w:rFonts w:eastAsia="Times New Roman" w:cs="Calibri"/>
                <w:bCs w:val="0"/>
                <w:color w:val="auto"/>
                <w:lang w:val="sr-Cyrl-BA"/>
              </w:rPr>
            </w:pPr>
            <w:r w:rsidRPr="0085443D">
              <w:rPr>
                <w:rFonts w:eastAsia="Times New Roman" w:cs="Calibri"/>
                <w:bCs w:val="0"/>
                <w:color w:val="auto"/>
              </w:rPr>
              <w:t>Preduzetničke</w:t>
            </w:r>
            <w:r w:rsidR="008F1EDF" w:rsidRPr="0085443D">
              <w:rPr>
                <w:rFonts w:eastAsia="Times New Roman" w:cs="Calibri"/>
                <w:bCs w:val="0"/>
                <w:color w:val="auto"/>
              </w:rPr>
              <w:t xml:space="preserve"> </w:t>
            </w:r>
            <w:r w:rsidRPr="0085443D">
              <w:rPr>
                <w:rFonts w:eastAsia="Times New Roman" w:cs="Calibri"/>
                <w:bCs w:val="0"/>
                <w:color w:val="auto"/>
              </w:rPr>
              <w:t>radnje</w:t>
            </w:r>
            <w:r w:rsidR="00F423CA" w:rsidRPr="0085443D">
              <w:rPr>
                <w:rFonts w:eastAsia="Times New Roman" w:cs="Calibri"/>
                <w:bCs w:val="0"/>
                <w:color w:val="auto"/>
              </w:rPr>
              <w:t xml:space="preserve"> – </w:t>
            </w:r>
            <w:r w:rsidRPr="0085443D">
              <w:rPr>
                <w:rFonts w:eastAsia="Times New Roman" w:cs="Calibri"/>
                <w:bCs w:val="0"/>
                <w:color w:val="auto"/>
              </w:rPr>
              <w:t>opština</w:t>
            </w:r>
            <w:r w:rsidR="00F423CA" w:rsidRPr="0085443D">
              <w:rPr>
                <w:rFonts w:eastAsia="Times New Roman" w:cs="Calibri"/>
                <w:bCs w:val="0"/>
                <w:color w:val="auto"/>
              </w:rPr>
              <w:t xml:space="preserve"> </w:t>
            </w:r>
            <w:r w:rsidRPr="0085443D">
              <w:rPr>
                <w:rFonts w:eastAsia="Times New Roman" w:cs="Calibri"/>
                <w:bCs w:val="0"/>
                <w:color w:val="auto"/>
              </w:rPr>
              <w:t>Prnjavor</w:t>
            </w:r>
            <w:r w:rsidR="00267D38" w:rsidRPr="0085443D">
              <w:rPr>
                <w:rFonts w:eastAsia="Times New Roman" w:cs="Calibri"/>
                <w:bCs w:val="0"/>
                <w:color w:val="auto"/>
              </w:rPr>
              <w:t>*</w:t>
            </w:r>
          </w:p>
        </w:tc>
      </w:tr>
      <w:tr w:rsidR="00267D38" w:rsidRPr="0085443D" w14:paraId="4F6B928F" w14:textId="77777777" w:rsidTr="00395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6" w:type="pct"/>
            <w:tcBorders>
              <w:left w:val="none" w:sz="0" w:space="0" w:color="auto"/>
            </w:tcBorders>
            <w:noWrap/>
            <w:hideMark/>
          </w:tcPr>
          <w:p w14:paraId="3559E6AB" w14:textId="77777777" w:rsidR="00F423CA" w:rsidRPr="0085443D" w:rsidRDefault="005923C6" w:rsidP="00A02EC1">
            <w:pPr>
              <w:jc w:val="center"/>
              <w:rPr>
                <w:rFonts w:eastAsia="Times New Roman" w:cs="Calibri"/>
                <w:bCs w:val="0"/>
                <w:color w:val="auto"/>
              </w:rPr>
            </w:pPr>
            <w:r w:rsidRPr="0085443D">
              <w:rPr>
                <w:rFonts w:eastAsia="Times New Roman" w:cs="Calibri"/>
                <w:bCs w:val="0"/>
                <w:color w:val="auto"/>
              </w:rPr>
              <w:t>Godina</w:t>
            </w:r>
          </w:p>
        </w:tc>
        <w:tc>
          <w:tcPr>
            <w:tcW w:w="1797" w:type="pct"/>
            <w:noWrap/>
            <w:hideMark/>
          </w:tcPr>
          <w:p w14:paraId="54F31080" w14:textId="77777777" w:rsidR="00F423CA" w:rsidRPr="0085443D" w:rsidRDefault="005923C6" w:rsidP="00A02EC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rPr>
            </w:pPr>
            <w:r w:rsidRPr="0085443D">
              <w:rPr>
                <w:rFonts w:eastAsia="Times New Roman" w:cs="Calibri"/>
                <w:b/>
                <w:bCs/>
              </w:rPr>
              <w:t>Prijave</w:t>
            </w:r>
          </w:p>
        </w:tc>
        <w:tc>
          <w:tcPr>
            <w:tcW w:w="1567" w:type="pct"/>
            <w:noWrap/>
            <w:hideMark/>
          </w:tcPr>
          <w:p w14:paraId="0BCCEB4D" w14:textId="77777777" w:rsidR="00F423CA" w:rsidRPr="0085443D" w:rsidRDefault="005923C6" w:rsidP="00A02EC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rPr>
            </w:pPr>
            <w:r w:rsidRPr="0085443D">
              <w:rPr>
                <w:rFonts w:eastAsia="Times New Roman" w:cs="Calibri"/>
                <w:b/>
                <w:bCs/>
              </w:rPr>
              <w:t>Odjave</w:t>
            </w:r>
          </w:p>
        </w:tc>
      </w:tr>
      <w:tr w:rsidR="00267D38" w:rsidRPr="0085443D" w14:paraId="681520BF" w14:textId="77777777" w:rsidTr="00395DE7">
        <w:trPr>
          <w:trHeight w:val="315"/>
        </w:trPr>
        <w:tc>
          <w:tcPr>
            <w:cnfStyle w:val="001000000000" w:firstRow="0" w:lastRow="0" w:firstColumn="1" w:lastColumn="0" w:oddVBand="0" w:evenVBand="0" w:oddHBand="0" w:evenHBand="0" w:firstRowFirstColumn="0" w:firstRowLastColumn="0" w:lastRowFirstColumn="0" w:lastRowLastColumn="0"/>
            <w:tcW w:w="1636" w:type="pct"/>
            <w:tcBorders>
              <w:left w:val="none" w:sz="0" w:space="0" w:color="auto"/>
            </w:tcBorders>
            <w:noWrap/>
            <w:hideMark/>
          </w:tcPr>
          <w:p w14:paraId="6CE24A85" w14:textId="77777777" w:rsidR="00F423CA" w:rsidRPr="0085443D" w:rsidRDefault="00F423CA" w:rsidP="00A02EC1">
            <w:pPr>
              <w:jc w:val="center"/>
              <w:rPr>
                <w:rFonts w:eastAsia="Times New Roman" w:cs="Calibri"/>
                <w:color w:val="auto"/>
              </w:rPr>
            </w:pPr>
            <w:r w:rsidRPr="0085443D">
              <w:rPr>
                <w:rFonts w:eastAsia="Times New Roman" w:cs="Calibri"/>
                <w:color w:val="auto"/>
              </w:rPr>
              <w:t>2012.</w:t>
            </w:r>
          </w:p>
        </w:tc>
        <w:tc>
          <w:tcPr>
            <w:tcW w:w="1797" w:type="pct"/>
            <w:noWrap/>
            <w:hideMark/>
          </w:tcPr>
          <w:p w14:paraId="4051B099" w14:textId="77777777" w:rsidR="00F423CA" w:rsidRPr="0085443D" w:rsidRDefault="00F423CA" w:rsidP="00A02EC1">
            <w:pPr>
              <w:jc w:val="center"/>
              <w:cnfStyle w:val="000000000000" w:firstRow="0" w:lastRow="0" w:firstColumn="0" w:lastColumn="0" w:oddVBand="0" w:evenVBand="0" w:oddHBand="0" w:evenHBand="0" w:firstRowFirstColumn="0" w:firstRowLastColumn="0" w:lastRowFirstColumn="0" w:lastRowLastColumn="0"/>
              <w:rPr>
                <w:rFonts w:eastAsia="Times New Roman" w:cs="Calibri"/>
                <w:b/>
              </w:rPr>
            </w:pPr>
            <w:r w:rsidRPr="0085443D">
              <w:rPr>
                <w:rFonts w:eastAsia="Times New Roman" w:cs="Calibri"/>
                <w:b/>
              </w:rPr>
              <w:t>102</w:t>
            </w:r>
          </w:p>
        </w:tc>
        <w:tc>
          <w:tcPr>
            <w:tcW w:w="1567" w:type="pct"/>
            <w:noWrap/>
            <w:hideMark/>
          </w:tcPr>
          <w:p w14:paraId="18F0C729" w14:textId="77777777" w:rsidR="00F423CA" w:rsidRPr="0085443D" w:rsidRDefault="00F423CA" w:rsidP="00A02EC1">
            <w:pPr>
              <w:jc w:val="center"/>
              <w:cnfStyle w:val="000000000000" w:firstRow="0" w:lastRow="0" w:firstColumn="0" w:lastColumn="0" w:oddVBand="0" w:evenVBand="0" w:oddHBand="0" w:evenHBand="0" w:firstRowFirstColumn="0" w:firstRowLastColumn="0" w:lastRowFirstColumn="0" w:lastRowLastColumn="0"/>
              <w:rPr>
                <w:rFonts w:eastAsia="Times New Roman" w:cs="Calibri"/>
                <w:b/>
              </w:rPr>
            </w:pPr>
            <w:r w:rsidRPr="0085443D">
              <w:rPr>
                <w:rFonts w:eastAsia="Times New Roman" w:cs="Calibri"/>
                <w:b/>
              </w:rPr>
              <w:t>173</w:t>
            </w:r>
          </w:p>
        </w:tc>
      </w:tr>
      <w:tr w:rsidR="00267D38" w:rsidRPr="0085443D" w14:paraId="3633F658" w14:textId="77777777" w:rsidTr="00395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6" w:type="pct"/>
            <w:tcBorders>
              <w:left w:val="none" w:sz="0" w:space="0" w:color="auto"/>
            </w:tcBorders>
            <w:noWrap/>
            <w:hideMark/>
          </w:tcPr>
          <w:p w14:paraId="0D9629B7" w14:textId="77777777" w:rsidR="00F423CA" w:rsidRPr="0085443D" w:rsidRDefault="00F423CA" w:rsidP="00A02EC1">
            <w:pPr>
              <w:jc w:val="center"/>
              <w:rPr>
                <w:rFonts w:eastAsia="Times New Roman" w:cs="Calibri"/>
                <w:color w:val="auto"/>
              </w:rPr>
            </w:pPr>
            <w:r w:rsidRPr="0085443D">
              <w:rPr>
                <w:rFonts w:eastAsia="Times New Roman" w:cs="Calibri"/>
                <w:color w:val="auto"/>
              </w:rPr>
              <w:t>2013.</w:t>
            </w:r>
          </w:p>
        </w:tc>
        <w:tc>
          <w:tcPr>
            <w:tcW w:w="1797" w:type="pct"/>
            <w:noWrap/>
            <w:hideMark/>
          </w:tcPr>
          <w:p w14:paraId="54CAFB4A" w14:textId="77777777" w:rsidR="00F423CA" w:rsidRPr="0085443D" w:rsidRDefault="00F423CA" w:rsidP="00A02EC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rPr>
            </w:pPr>
            <w:r w:rsidRPr="0085443D">
              <w:rPr>
                <w:rFonts w:eastAsia="Times New Roman" w:cs="Calibri"/>
                <w:b/>
              </w:rPr>
              <w:t>81</w:t>
            </w:r>
          </w:p>
        </w:tc>
        <w:tc>
          <w:tcPr>
            <w:tcW w:w="1567" w:type="pct"/>
            <w:noWrap/>
            <w:hideMark/>
          </w:tcPr>
          <w:p w14:paraId="0A172D5D" w14:textId="77777777" w:rsidR="00F423CA" w:rsidRPr="0085443D" w:rsidRDefault="00F423CA" w:rsidP="00A02EC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rPr>
            </w:pPr>
            <w:r w:rsidRPr="0085443D">
              <w:rPr>
                <w:rFonts w:eastAsia="Times New Roman" w:cs="Calibri"/>
                <w:b/>
              </w:rPr>
              <w:t>155</w:t>
            </w:r>
          </w:p>
        </w:tc>
      </w:tr>
      <w:tr w:rsidR="00267D38" w:rsidRPr="0085443D" w14:paraId="3181D740" w14:textId="77777777" w:rsidTr="00395DE7">
        <w:trPr>
          <w:trHeight w:val="300"/>
        </w:trPr>
        <w:tc>
          <w:tcPr>
            <w:cnfStyle w:val="001000000000" w:firstRow="0" w:lastRow="0" w:firstColumn="1" w:lastColumn="0" w:oddVBand="0" w:evenVBand="0" w:oddHBand="0" w:evenHBand="0" w:firstRowFirstColumn="0" w:firstRowLastColumn="0" w:lastRowFirstColumn="0" w:lastRowLastColumn="0"/>
            <w:tcW w:w="1636" w:type="pct"/>
            <w:tcBorders>
              <w:left w:val="none" w:sz="0" w:space="0" w:color="auto"/>
            </w:tcBorders>
            <w:noWrap/>
            <w:hideMark/>
          </w:tcPr>
          <w:p w14:paraId="027E523C" w14:textId="77777777" w:rsidR="00F423CA" w:rsidRPr="0085443D" w:rsidRDefault="00F423CA" w:rsidP="00A02EC1">
            <w:pPr>
              <w:jc w:val="center"/>
              <w:rPr>
                <w:rFonts w:eastAsia="Times New Roman" w:cs="Calibri"/>
                <w:color w:val="auto"/>
              </w:rPr>
            </w:pPr>
            <w:r w:rsidRPr="0085443D">
              <w:rPr>
                <w:rFonts w:eastAsia="Times New Roman" w:cs="Calibri"/>
                <w:color w:val="auto"/>
              </w:rPr>
              <w:t>2014.</w:t>
            </w:r>
          </w:p>
        </w:tc>
        <w:tc>
          <w:tcPr>
            <w:tcW w:w="1797" w:type="pct"/>
            <w:noWrap/>
            <w:hideMark/>
          </w:tcPr>
          <w:p w14:paraId="4325671E" w14:textId="77777777" w:rsidR="00F423CA" w:rsidRPr="0085443D" w:rsidRDefault="00F423CA" w:rsidP="00A02EC1">
            <w:pPr>
              <w:jc w:val="center"/>
              <w:cnfStyle w:val="000000000000" w:firstRow="0" w:lastRow="0" w:firstColumn="0" w:lastColumn="0" w:oddVBand="0" w:evenVBand="0" w:oddHBand="0" w:evenHBand="0" w:firstRowFirstColumn="0" w:firstRowLastColumn="0" w:lastRowFirstColumn="0" w:lastRowLastColumn="0"/>
              <w:rPr>
                <w:rFonts w:eastAsia="Times New Roman" w:cs="Calibri"/>
                <w:b/>
              </w:rPr>
            </w:pPr>
            <w:r w:rsidRPr="0085443D">
              <w:rPr>
                <w:rFonts w:eastAsia="Times New Roman" w:cs="Calibri"/>
                <w:b/>
              </w:rPr>
              <w:t>87</w:t>
            </w:r>
          </w:p>
        </w:tc>
        <w:tc>
          <w:tcPr>
            <w:tcW w:w="1567" w:type="pct"/>
            <w:noWrap/>
            <w:hideMark/>
          </w:tcPr>
          <w:p w14:paraId="0CF1C0E5" w14:textId="77777777" w:rsidR="00F423CA" w:rsidRPr="0085443D" w:rsidRDefault="00F423CA" w:rsidP="00A02EC1">
            <w:pPr>
              <w:jc w:val="center"/>
              <w:cnfStyle w:val="000000000000" w:firstRow="0" w:lastRow="0" w:firstColumn="0" w:lastColumn="0" w:oddVBand="0" w:evenVBand="0" w:oddHBand="0" w:evenHBand="0" w:firstRowFirstColumn="0" w:firstRowLastColumn="0" w:lastRowFirstColumn="0" w:lastRowLastColumn="0"/>
              <w:rPr>
                <w:rFonts w:eastAsia="Times New Roman" w:cs="Calibri"/>
                <w:b/>
              </w:rPr>
            </w:pPr>
            <w:r w:rsidRPr="0085443D">
              <w:rPr>
                <w:rFonts w:eastAsia="Times New Roman" w:cs="Calibri"/>
                <w:b/>
              </w:rPr>
              <w:t>89</w:t>
            </w:r>
          </w:p>
        </w:tc>
      </w:tr>
      <w:tr w:rsidR="00267D38" w:rsidRPr="0085443D" w14:paraId="20174ED1" w14:textId="77777777" w:rsidTr="00395D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6" w:type="pct"/>
            <w:tcBorders>
              <w:left w:val="none" w:sz="0" w:space="0" w:color="auto"/>
            </w:tcBorders>
            <w:noWrap/>
            <w:hideMark/>
          </w:tcPr>
          <w:p w14:paraId="5D2B85B8" w14:textId="77777777" w:rsidR="00F423CA" w:rsidRPr="0085443D" w:rsidRDefault="00F423CA" w:rsidP="00A02EC1">
            <w:pPr>
              <w:jc w:val="center"/>
              <w:rPr>
                <w:rFonts w:eastAsia="Times New Roman" w:cs="Calibri"/>
                <w:color w:val="auto"/>
              </w:rPr>
            </w:pPr>
            <w:r w:rsidRPr="0085443D">
              <w:rPr>
                <w:rFonts w:eastAsia="Times New Roman" w:cs="Calibri"/>
                <w:color w:val="auto"/>
              </w:rPr>
              <w:t>2015.</w:t>
            </w:r>
          </w:p>
        </w:tc>
        <w:tc>
          <w:tcPr>
            <w:tcW w:w="1797" w:type="pct"/>
            <w:noWrap/>
            <w:hideMark/>
          </w:tcPr>
          <w:p w14:paraId="69B5CB05" w14:textId="77777777" w:rsidR="00F423CA" w:rsidRPr="0085443D" w:rsidRDefault="00F423CA" w:rsidP="00A02EC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rPr>
            </w:pPr>
            <w:r w:rsidRPr="0085443D">
              <w:rPr>
                <w:rFonts w:eastAsia="Times New Roman" w:cs="Calibri"/>
                <w:b/>
              </w:rPr>
              <w:t>131</w:t>
            </w:r>
          </w:p>
        </w:tc>
        <w:tc>
          <w:tcPr>
            <w:tcW w:w="1567" w:type="pct"/>
            <w:noWrap/>
            <w:hideMark/>
          </w:tcPr>
          <w:p w14:paraId="7E3A5D39" w14:textId="77777777" w:rsidR="00F423CA" w:rsidRPr="0085443D" w:rsidRDefault="00F423CA" w:rsidP="00A02EC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rPr>
            </w:pPr>
            <w:r w:rsidRPr="0085443D">
              <w:rPr>
                <w:rFonts w:eastAsia="Times New Roman" w:cs="Calibri"/>
                <w:b/>
              </w:rPr>
              <w:t>109</w:t>
            </w:r>
          </w:p>
        </w:tc>
      </w:tr>
      <w:tr w:rsidR="00267D38" w:rsidRPr="0085443D" w14:paraId="4055AA08" w14:textId="77777777" w:rsidTr="00395DE7">
        <w:trPr>
          <w:trHeight w:val="315"/>
        </w:trPr>
        <w:tc>
          <w:tcPr>
            <w:cnfStyle w:val="001000000000" w:firstRow="0" w:lastRow="0" w:firstColumn="1" w:lastColumn="0" w:oddVBand="0" w:evenVBand="0" w:oddHBand="0" w:evenHBand="0" w:firstRowFirstColumn="0" w:firstRowLastColumn="0" w:lastRowFirstColumn="0" w:lastRowLastColumn="0"/>
            <w:tcW w:w="1636" w:type="pct"/>
            <w:tcBorders>
              <w:left w:val="none" w:sz="0" w:space="0" w:color="auto"/>
              <w:bottom w:val="none" w:sz="0" w:space="0" w:color="auto"/>
            </w:tcBorders>
            <w:noWrap/>
            <w:hideMark/>
          </w:tcPr>
          <w:p w14:paraId="39376C30" w14:textId="77777777" w:rsidR="00F423CA" w:rsidRPr="0085443D" w:rsidRDefault="00F423CA" w:rsidP="00A02EC1">
            <w:pPr>
              <w:jc w:val="center"/>
              <w:rPr>
                <w:rFonts w:eastAsia="Times New Roman" w:cs="Calibri"/>
                <w:color w:val="auto"/>
              </w:rPr>
            </w:pPr>
            <w:r w:rsidRPr="0085443D">
              <w:rPr>
                <w:rFonts w:eastAsia="Times New Roman" w:cs="Calibri"/>
                <w:color w:val="auto"/>
              </w:rPr>
              <w:t>2016.</w:t>
            </w:r>
          </w:p>
        </w:tc>
        <w:tc>
          <w:tcPr>
            <w:tcW w:w="1797" w:type="pct"/>
            <w:noWrap/>
            <w:hideMark/>
          </w:tcPr>
          <w:p w14:paraId="1E3E3320" w14:textId="77777777" w:rsidR="00F423CA" w:rsidRPr="0085443D" w:rsidRDefault="00F423CA" w:rsidP="00A02EC1">
            <w:pPr>
              <w:jc w:val="center"/>
              <w:cnfStyle w:val="000000000000" w:firstRow="0" w:lastRow="0" w:firstColumn="0" w:lastColumn="0" w:oddVBand="0" w:evenVBand="0" w:oddHBand="0" w:evenHBand="0" w:firstRowFirstColumn="0" w:firstRowLastColumn="0" w:lastRowFirstColumn="0" w:lastRowLastColumn="0"/>
              <w:rPr>
                <w:rFonts w:eastAsia="Times New Roman" w:cs="Calibri"/>
                <w:b/>
              </w:rPr>
            </w:pPr>
            <w:r w:rsidRPr="0085443D">
              <w:rPr>
                <w:rFonts w:eastAsia="Times New Roman" w:cs="Calibri"/>
                <w:b/>
              </w:rPr>
              <w:t>175</w:t>
            </w:r>
          </w:p>
        </w:tc>
        <w:tc>
          <w:tcPr>
            <w:tcW w:w="1567" w:type="pct"/>
            <w:noWrap/>
            <w:hideMark/>
          </w:tcPr>
          <w:p w14:paraId="533C0341" w14:textId="77777777" w:rsidR="00F423CA" w:rsidRPr="0085443D" w:rsidRDefault="00F423CA" w:rsidP="00A02EC1">
            <w:pPr>
              <w:jc w:val="center"/>
              <w:cnfStyle w:val="000000000000" w:firstRow="0" w:lastRow="0" w:firstColumn="0" w:lastColumn="0" w:oddVBand="0" w:evenVBand="0" w:oddHBand="0" w:evenHBand="0" w:firstRowFirstColumn="0" w:firstRowLastColumn="0" w:lastRowFirstColumn="0" w:lastRowLastColumn="0"/>
              <w:rPr>
                <w:rFonts w:eastAsia="Times New Roman" w:cs="Calibri"/>
                <w:b/>
              </w:rPr>
            </w:pPr>
            <w:r w:rsidRPr="0085443D">
              <w:rPr>
                <w:rFonts w:eastAsia="Times New Roman" w:cs="Calibri"/>
                <w:b/>
              </w:rPr>
              <w:t>117</w:t>
            </w:r>
          </w:p>
        </w:tc>
      </w:tr>
    </w:tbl>
    <w:p w14:paraId="3168D172" w14:textId="77777777" w:rsidR="00951036" w:rsidRPr="0085443D" w:rsidRDefault="00951036" w:rsidP="00F423CA">
      <w:pPr>
        <w:jc w:val="both"/>
        <w:rPr>
          <w:i/>
          <w:sz w:val="20"/>
        </w:rPr>
      </w:pPr>
      <w:r w:rsidRPr="0085443D">
        <w:rPr>
          <w:i/>
          <w:sz w:val="20"/>
        </w:rPr>
        <w:t>Izvor: ORT</w:t>
      </w:r>
    </w:p>
    <w:p w14:paraId="1D37C268" w14:textId="77777777" w:rsidR="00F423CA" w:rsidRPr="0085443D" w:rsidRDefault="00F423CA" w:rsidP="00F423CA">
      <w:pPr>
        <w:jc w:val="both"/>
        <w:rPr>
          <w:sz w:val="20"/>
        </w:rPr>
      </w:pPr>
      <w:r w:rsidRPr="0085443D">
        <w:rPr>
          <w:sz w:val="20"/>
          <w:lang w:val="sr-Cyrl-BA"/>
        </w:rPr>
        <w:t>*</w:t>
      </w:r>
      <w:r w:rsidR="005923C6" w:rsidRPr="0085443D">
        <w:rPr>
          <w:sz w:val="20"/>
          <w:lang w:val="sr-Cyrl-BA"/>
        </w:rPr>
        <w:t>Kada</w:t>
      </w:r>
      <w:r w:rsidRPr="0085443D">
        <w:rPr>
          <w:sz w:val="20"/>
          <w:lang w:val="sr-Cyrl-BA"/>
        </w:rPr>
        <w:t xml:space="preserve"> </w:t>
      </w:r>
      <w:r w:rsidR="005923C6" w:rsidRPr="0085443D">
        <w:rPr>
          <w:sz w:val="20"/>
          <w:lang w:val="sr-Cyrl-BA"/>
        </w:rPr>
        <w:t>su</w:t>
      </w:r>
      <w:r w:rsidRPr="0085443D">
        <w:rPr>
          <w:sz w:val="20"/>
          <w:lang w:val="sr-Cyrl-BA"/>
        </w:rPr>
        <w:t xml:space="preserve"> </w:t>
      </w:r>
      <w:r w:rsidR="005923C6" w:rsidRPr="0085443D">
        <w:rPr>
          <w:sz w:val="20"/>
          <w:lang w:val="sr-Cyrl-BA"/>
        </w:rPr>
        <w:t>u</w:t>
      </w:r>
      <w:r w:rsidRPr="0085443D">
        <w:rPr>
          <w:sz w:val="20"/>
          <w:lang w:val="sr-Cyrl-BA"/>
        </w:rPr>
        <w:t xml:space="preserve"> </w:t>
      </w:r>
      <w:r w:rsidR="005923C6" w:rsidRPr="0085443D">
        <w:rPr>
          <w:sz w:val="20"/>
          <w:lang w:val="sr-Cyrl-BA"/>
        </w:rPr>
        <w:t>pitanju</w:t>
      </w:r>
      <w:r w:rsidRPr="0085443D">
        <w:rPr>
          <w:sz w:val="20"/>
          <w:lang w:val="sr-Cyrl-BA"/>
        </w:rPr>
        <w:t xml:space="preserve"> </w:t>
      </w:r>
      <w:r w:rsidR="005923C6" w:rsidRPr="0085443D">
        <w:rPr>
          <w:sz w:val="20"/>
          <w:lang w:val="sr-Cyrl-BA"/>
        </w:rPr>
        <w:t>preduzetnici</w:t>
      </w:r>
      <w:r w:rsidRPr="0085443D">
        <w:rPr>
          <w:sz w:val="20"/>
          <w:lang w:val="sr-Cyrl-BA"/>
        </w:rPr>
        <w:t xml:space="preserve"> </w:t>
      </w:r>
      <w:r w:rsidR="005923C6" w:rsidRPr="0085443D">
        <w:rPr>
          <w:sz w:val="20"/>
          <w:lang w:val="sr-Cyrl-BA"/>
        </w:rPr>
        <w:t>registrovani</w:t>
      </w:r>
      <w:r w:rsidRPr="0085443D">
        <w:rPr>
          <w:sz w:val="20"/>
          <w:lang w:val="sr-Cyrl-BA"/>
        </w:rPr>
        <w:t xml:space="preserve"> </w:t>
      </w:r>
      <w:r w:rsidR="005923C6" w:rsidRPr="0085443D">
        <w:rPr>
          <w:sz w:val="20"/>
          <w:lang w:val="sr-Cyrl-BA"/>
        </w:rPr>
        <w:t>na</w:t>
      </w:r>
      <w:r w:rsidRPr="0085443D">
        <w:rPr>
          <w:sz w:val="20"/>
          <w:lang w:val="sr-Cyrl-BA"/>
        </w:rPr>
        <w:t xml:space="preserve"> </w:t>
      </w:r>
      <w:r w:rsidR="005923C6" w:rsidRPr="0085443D">
        <w:rPr>
          <w:sz w:val="20"/>
          <w:lang w:val="sr-Cyrl-BA"/>
        </w:rPr>
        <w:t>području</w:t>
      </w:r>
      <w:r w:rsidRPr="0085443D">
        <w:rPr>
          <w:sz w:val="20"/>
          <w:lang w:val="sr-Cyrl-BA"/>
        </w:rPr>
        <w:t xml:space="preserve"> </w:t>
      </w:r>
      <w:r w:rsidR="005923C6" w:rsidRPr="0085443D">
        <w:rPr>
          <w:sz w:val="20"/>
          <w:lang w:val="sr-Cyrl-BA"/>
        </w:rPr>
        <w:t>opštine</w:t>
      </w:r>
      <w:r w:rsidRPr="0085443D">
        <w:rPr>
          <w:sz w:val="20"/>
          <w:lang w:val="sr-Cyrl-BA"/>
        </w:rPr>
        <w:t xml:space="preserve"> </w:t>
      </w:r>
      <w:r w:rsidR="005923C6" w:rsidRPr="0085443D">
        <w:rPr>
          <w:sz w:val="20"/>
          <w:lang w:val="sr-Cyrl-BA"/>
        </w:rPr>
        <w:t>Prnjavor</w:t>
      </w:r>
      <w:r w:rsidRPr="0085443D">
        <w:rPr>
          <w:sz w:val="20"/>
          <w:lang w:val="sr-Cyrl-BA"/>
        </w:rPr>
        <w:t xml:space="preserve">, </w:t>
      </w:r>
      <w:r w:rsidR="005923C6" w:rsidRPr="0085443D">
        <w:rPr>
          <w:sz w:val="20"/>
          <w:lang w:val="sr-Cyrl-BA"/>
        </w:rPr>
        <w:t>tačna</w:t>
      </w:r>
      <w:r w:rsidRPr="0085443D">
        <w:rPr>
          <w:sz w:val="20"/>
          <w:lang w:val="sr-Cyrl-BA"/>
        </w:rPr>
        <w:t xml:space="preserve"> </w:t>
      </w:r>
      <w:r w:rsidR="005923C6" w:rsidRPr="0085443D">
        <w:rPr>
          <w:sz w:val="20"/>
          <w:lang w:val="sr-Cyrl-BA"/>
        </w:rPr>
        <w:t>evidencija</w:t>
      </w:r>
      <w:r w:rsidRPr="0085443D">
        <w:rPr>
          <w:sz w:val="20"/>
          <w:lang w:val="sr-Cyrl-BA"/>
        </w:rPr>
        <w:t xml:space="preserve"> </w:t>
      </w:r>
      <w:r w:rsidR="005923C6" w:rsidRPr="0085443D">
        <w:rPr>
          <w:sz w:val="20"/>
          <w:lang w:val="sr-Cyrl-BA"/>
        </w:rPr>
        <w:t>se</w:t>
      </w:r>
      <w:r w:rsidRPr="0085443D">
        <w:rPr>
          <w:sz w:val="20"/>
          <w:lang w:val="sr-Cyrl-BA"/>
        </w:rPr>
        <w:t xml:space="preserve"> </w:t>
      </w:r>
      <w:r w:rsidR="005923C6" w:rsidRPr="0085443D">
        <w:rPr>
          <w:sz w:val="20"/>
          <w:lang w:val="sr-Cyrl-BA"/>
        </w:rPr>
        <w:t>vodi</w:t>
      </w:r>
      <w:r w:rsidRPr="0085443D">
        <w:rPr>
          <w:sz w:val="20"/>
          <w:lang w:val="sr-Cyrl-BA"/>
        </w:rPr>
        <w:t xml:space="preserve"> </w:t>
      </w:r>
      <w:r w:rsidR="005923C6" w:rsidRPr="0085443D">
        <w:rPr>
          <w:sz w:val="20"/>
          <w:lang w:val="sr-Cyrl-BA"/>
        </w:rPr>
        <w:t>tek</w:t>
      </w:r>
      <w:r w:rsidRPr="0085443D">
        <w:rPr>
          <w:sz w:val="20"/>
          <w:lang w:val="sr-Cyrl-BA"/>
        </w:rPr>
        <w:t xml:space="preserve"> </w:t>
      </w:r>
      <w:r w:rsidR="005923C6" w:rsidRPr="0085443D">
        <w:rPr>
          <w:sz w:val="20"/>
          <w:lang w:val="sr-Cyrl-BA"/>
        </w:rPr>
        <w:t>od</w:t>
      </w:r>
      <w:r w:rsidRPr="0085443D">
        <w:rPr>
          <w:sz w:val="20"/>
          <w:lang w:val="sr-Cyrl-BA"/>
        </w:rPr>
        <w:t xml:space="preserve"> </w:t>
      </w:r>
      <w:r w:rsidR="005923C6" w:rsidRPr="0085443D">
        <w:rPr>
          <w:sz w:val="20"/>
          <w:lang w:val="sr-Cyrl-BA"/>
        </w:rPr>
        <w:t>septembra</w:t>
      </w:r>
      <w:r w:rsidRPr="0085443D">
        <w:rPr>
          <w:sz w:val="20"/>
          <w:lang w:val="sr-Cyrl-BA"/>
        </w:rPr>
        <w:t xml:space="preserve"> 2016. </w:t>
      </w:r>
      <w:r w:rsidR="005923C6" w:rsidRPr="0085443D">
        <w:rPr>
          <w:sz w:val="20"/>
          <w:lang w:val="sr-Cyrl-BA"/>
        </w:rPr>
        <w:t>godine</w:t>
      </w:r>
      <w:r w:rsidRPr="0085443D">
        <w:rPr>
          <w:sz w:val="20"/>
          <w:lang w:val="sr-Cyrl-BA"/>
        </w:rPr>
        <w:t xml:space="preserve"> </w:t>
      </w:r>
      <w:r w:rsidR="005923C6" w:rsidRPr="0085443D">
        <w:rPr>
          <w:sz w:val="20"/>
          <w:lang w:val="sr-Cyrl-BA"/>
        </w:rPr>
        <w:t>uspostavljanjem</w:t>
      </w:r>
      <w:r w:rsidRPr="0085443D">
        <w:rPr>
          <w:sz w:val="20"/>
          <w:lang w:val="sr-Cyrl-BA"/>
        </w:rPr>
        <w:t xml:space="preserve"> </w:t>
      </w:r>
      <w:r w:rsidR="005923C6" w:rsidRPr="0085443D">
        <w:rPr>
          <w:sz w:val="20"/>
          <w:lang w:val="sr-Cyrl-BA"/>
        </w:rPr>
        <w:t>Centralnog</w:t>
      </w:r>
      <w:r w:rsidRPr="0085443D">
        <w:rPr>
          <w:sz w:val="20"/>
          <w:lang w:val="sr-Cyrl-BA"/>
        </w:rPr>
        <w:t xml:space="preserve"> </w:t>
      </w:r>
      <w:r w:rsidR="005923C6" w:rsidRPr="0085443D">
        <w:rPr>
          <w:sz w:val="20"/>
          <w:lang w:val="sr-Cyrl-BA"/>
        </w:rPr>
        <w:t>registra</w:t>
      </w:r>
      <w:r w:rsidRPr="0085443D">
        <w:rPr>
          <w:sz w:val="20"/>
          <w:lang w:val="sr-Cyrl-BA"/>
        </w:rPr>
        <w:t xml:space="preserve"> </w:t>
      </w:r>
      <w:r w:rsidR="005923C6" w:rsidRPr="0085443D">
        <w:rPr>
          <w:sz w:val="20"/>
          <w:lang w:val="sr-Cyrl-BA"/>
        </w:rPr>
        <w:t>preduzetnika</w:t>
      </w:r>
      <w:r w:rsidRPr="0085443D">
        <w:rPr>
          <w:sz w:val="20"/>
          <w:lang w:val="sr-Cyrl-BA"/>
        </w:rPr>
        <w:t xml:space="preserve">. </w:t>
      </w:r>
      <w:r w:rsidR="005923C6" w:rsidRPr="0085443D">
        <w:rPr>
          <w:sz w:val="20"/>
          <w:lang w:val="sr-Cyrl-BA"/>
        </w:rPr>
        <w:t>Tako</w:t>
      </w:r>
      <w:r w:rsidRPr="0085443D">
        <w:rPr>
          <w:sz w:val="20"/>
          <w:lang w:val="sr-Cyrl-BA"/>
        </w:rPr>
        <w:t xml:space="preserve"> </w:t>
      </w:r>
      <w:r w:rsidR="005923C6" w:rsidRPr="0085443D">
        <w:rPr>
          <w:sz w:val="20"/>
          <w:lang w:val="sr-Cyrl-BA"/>
        </w:rPr>
        <w:t>je</w:t>
      </w:r>
      <w:r w:rsidRPr="0085443D">
        <w:rPr>
          <w:sz w:val="20"/>
          <w:lang w:val="sr-Cyrl-BA"/>
        </w:rPr>
        <w:t xml:space="preserve"> </w:t>
      </w:r>
      <w:r w:rsidR="005923C6" w:rsidRPr="0085443D">
        <w:rPr>
          <w:sz w:val="20"/>
          <w:lang w:val="sr-Cyrl-BA"/>
        </w:rPr>
        <w:t>npr</w:t>
      </w:r>
      <w:r w:rsidRPr="0085443D">
        <w:rPr>
          <w:sz w:val="20"/>
          <w:lang w:val="sr-Cyrl-BA"/>
        </w:rPr>
        <w:t xml:space="preserve">. </w:t>
      </w:r>
      <w:r w:rsidR="005923C6" w:rsidRPr="0085443D">
        <w:rPr>
          <w:sz w:val="20"/>
          <w:lang w:val="sr-Cyrl-BA"/>
        </w:rPr>
        <w:t>stanje</w:t>
      </w:r>
      <w:r w:rsidRPr="0085443D">
        <w:rPr>
          <w:sz w:val="20"/>
          <w:lang w:val="sr-Cyrl-BA"/>
        </w:rPr>
        <w:t xml:space="preserve"> </w:t>
      </w:r>
      <w:r w:rsidR="005923C6" w:rsidRPr="0085443D">
        <w:rPr>
          <w:sz w:val="20"/>
          <w:lang w:val="sr-Cyrl-BA"/>
        </w:rPr>
        <w:t>na</w:t>
      </w:r>
      <w:r w:rsidRPr="0085443D">
        <w:rPr>
          <w:sz w:val="20"/>
          <w:lang w:val="sr-Cyrl-BA"/>
        </w:rPr>
        <w:t xml:space="preserve"> </w:t>
      </w:r>
      <w:r w:rsidR="005923C6" w:rsidRPr="0085443D">
        <w:rPr>
          <w:sz w:val="20"/>
          <w:lang w:val="sr-Cyrl-BA"/>
        </w:rPr>
        <w:t>dan</w:t>
      </w:r>
      <w:r w:rsidRPr="0085443D">
        <w:rPr>
          <w:sz w:val="20"/>
          <w:lang w:val="sr-Cyrl-BA"/>
        </w:rPr>
        <w:t xml:space="preserve"> 17.10.2016. </w:t>
      </w:r>
      <w:r w:rsidR="005923C6" w:rsidRPr="0085443D">
        <w:rPr>
          <w:sz w:val="20"/>
          <w:lang w:val="sr-Cyrl-BA"/>
        </w:rPr>
        <w:t>godine</w:t>
      </w:r>
      <w:r w:rsidRPr="0085443D">
        <w:rPr>
          <w:sz w:val="20"/>
          <w:lang w:val="sr-Cyrl-BA"/>
        </w:rPr>
        <w:t xml:space="preserve"> </w:t>
      </w:r>
      <w:r w:rsidR="005923C6" w:rsidRPr="0085443D">
        <w:rPr>
          <w:sz w:val="20"/>
          <w:lang w:val="sr-Cyrl-BA"/>
        </w:rPr>
        <w:t>bilo</w:t>
      </w:r>
      <w:r w:rsidRPr="0085443D">
        <w:rPr>
          <w:sz w:val="20"/>
          <w:lang w:val="sr-Cyrl-BA"/>
        </w:rPr>
        <w:t xml:space="preserve"> 684 </w:t>
      </w:r>
      <w:r w:rsidR="005923C6" w:rsidRPr="0085443D">
        <w:rPr>
          <w:sz w:val="20"/>
          <w:lang w:val="sr-Cyrl-BA"/>
        </w:rPr>
        <w:t>registrovana</w:t>
      </w:r>
      <w:r w:rsidRPr="0085443D">
        <w:rPr>
          <w:sz w:val="20"/>
          <w:lang w:val="sr-Cyrl-BA"/>
        </w:rPr>
        <w:t xml:space="preserve"> </w:t>
      </w:r>
      <w:r w:rsidR="005923C6" w:rsidRPr="0085443D">
        <w:rPr>
          <w:sz w:val="20"/>
          <w:lang w:val="sr-Cyrl-BA"/>
        </w:rPr>
        <w:t>preduzetnika</w:t>
      </w:r>
      <w:r w:rsidRPr="0085443D">
        <w:rPr>
          <w:sz w:val="20"/>
          <w:lang w:val="sr-Cyrl-BA"/>
        </w:rPr>
        <w:t xml:space="preserve"> (</w:t>
      </w:r>
      <w:r w:rsidR="005923C6" w:rsidRPr="0085443D">
        <w:rPr>
          <w:sz w:val="20"/>
          <w:lang w:val="sr-Cyrl-BA"/>
        </w:rPr>
        <w:t>aktivni</w:t>
      </w:r>
      <w:r w:rsidRPr="0085443D">
        <w:rPr>
          <w:sz w:val="20"/>
          <w:lang w:val="sr-Cyrl-BA"/>
        </w:rPr>
        <w:t xml:space="preserve"> </w:t>
      </w:r>
      <w:r w:rsidR="005923C6" w:rsidRPr="0085443D">
        <w:rPr>
          <w:sz w:val="20"/>
          <w:lang w:val="sr-Cyrl-BA"/>
        </w:rPr>
        <w:t>preduzetnici</w:t>
      </w:r>
      <w:r w:rsidRPr="0085443D">
        <w:rPr>
          <w:sz w:val="20"/>
          <w:lang w:val="sr-Cyrl-BA"/>
        </w:rPr>
        <w:t xml:space="preserve">), </w:t>
      </w:r>
      <w:r w:rsidR="005923C6" w:rsidRPr="0085443D">
        <w:rPr>
          <w:sz w:val="20"/>
          <w:lang w:val="sr-Cyrl-BA"/>
        </w:rPr>
        <w:t>a</w:t>
      </w:r>
      <w:r w:rsidRPr="0085443D">
        <w:rPr>
          <w:sz w:val="20"/>
          <w:lang w:val="sr-Cyrl-BA"/>
        </w:rPr>
        <w:t xml:space="preserve"> </w:t>
      </w:r>
      <w:r w:rsidR="005923C6" w:rsidRPr="0085443D">
        <w:rPr>
          <w:sz w:val="20"/>
          <w:lang w:val="sr-Cyrl-BA"/>
        </w:rPr>
        <w:t>stanje</w:t>
      </w:r>
      <w:r w:rsidRPr="0085443D">
        <w:rPr>
          <w:sz w:val="20"/>
          <w:lang w:val="sr-Cyrl-BA"/>
        </w:rPr>
        <w:t xml:space="preserve"> </w:t>
      </w:r>
      <w:r w:rsidR="005923C6" w:rsidRPr="0085443D">
        <w:rPr>
          <w:sz w:val="20"/>
          <w:lang w:val="sr-Cyrl-BA"/>
        </w:rPr>
        <w:t>na</w:t>
      </w:r>
      <w:r w:rsidRPr="0085443D">
        <w:rPr>
          <w:sz w:val="20"/>
          <w:lang w:val="sr-Cyrl-BA"/>
        </w:rPr>
        <w:t xml:space="preserve"> </w:t>
      </w:r>
      <w:r w:rsidR="005923C6" w:rsidRPr="0085443D">
        <w:rPr>
          <w:sz w:val="20"/>
          <w:lang w:val="sr-Cyrl-BA"/>
        </w:rPr>
        <w:t>dan</w:t>
      </w:r>
      <w:r w:rsidRPr="0085443D">
        <w:rPr>
          <w:sz w:val="20"/>
          <w:lang w:val="sr-Cyrl-BA"/>
        </w:rPr>
        <w:t xml:space="preserve"> 10.02.2017. </w:t>
      </w:r>
      <w:r w:rsidR="005923C6" w:rsidRPr="0085443D">
        <w:rPr>
          <w:sz w:val="20"/>
          <w:lang w:val="sr-Cyrl-BA"/>
        </w:rPr>
        <w:t>godine</w:t>
      </w:r>
      <w:r w:rsidRPr="0085443D">
        <w:rPr>
          <w:sz w:val="20"/>
          <w:lang w:val="sr-Cyrl-BA"/>
        </w:rPr>
        <w:t xml:space="preserve"> 636 </w:t>
      </w:r>
      <w:r w:rsidR="005923C6" w:rsidRPr="0085443D">
        <w:rPr>
          <w:sz w:val="20"/>
          <w:lang w:val="sr-Cyrl-BA"/>
        </w:rPr>
        <w:t>preduzetnika</w:t>
      </w:r>
      <w:r w:rsidRPr="0085443D">
        <w:rPr>
          <w:sz w:val="20"/>
        </w:rPr>
        <w:t xml:space="preserve">. </w:t>
      </w:r>
    </w:p>
    <w:p w14:paraId="7F29C7E6" w14:textId="77777777" w:rsidR="005923C6" w:rsidRPr="0085443D" w:rsidRDefault="00C81670" w:rsidP="00F423CA">
      <w:pPr>
        <w:jc w:val="both"/>
      </w:pPr>
      <w:r w:rsidRPr="0085443D">
        <w:t xml:space="preserve">Od </w:t>
      </w:r>
      <w:r w:rsidR="00951036" w:rsidRPr="0085443D">
        <w:t xml:space="preserve">2015. godine broj prijavljenih je veći od broja odjavljenih preduzetničkih radnji, što ukazuje na efekte unapređenja poslovnog okruženja i povoljnija tržišna kretanja. </w:t>
      </w:r>
    </w:p>
    <w:p w14:paraId="00E6C4A2" w14:textId="77777777" w:rsidR="00951036" w:rsidRPr="0085443D" w:rsidRDefault="00951036" w:rsidP="00F423CA">
      <w:pPr>
        <w:jc w:val="both"/>
      </w:pPr>
    </w:p>
    <w:p w14:paraId="30123AEB" w14:textId="77777777" w:rsidR="00F423CA" w:rsidRPr="0085443D" w:rsidRDefault="005923C6" w:rsidP="00F423CA">
      <w:pPr>
        <w:rPr>
          <w:b/>
          <w:lang w:val="sr-Cyrl-BA"/>
        </w:rPr>
      </w:pPr>
      <w:r w:rsidRPr="0085443D">
        <w:rPr>
          <w:b/>
          <w:lang w:val="sr-Cyrl-BA"/>
        </w:rPr>
        <w:t>Uvoz</w:t>
      </w:r>
      <w:r w:rsidR="00F423CA" w:rsidRPr="0085443D">
        <w:rPr>
          <w:b/>
          <w:lang w:val="sr-Cyrl-BA"/>
        </w:rPr>
        <w:t xml:space="preserve">, </w:t>
      </w:r>
      <w:r w:rsidRPr="0085443D">
        <w:rPr>
          <w:b/>
          <w:lang w:val="sr-Cyrl-BA"/>
        </w:rPr>
        <w:t>izvoz</w:t>
      </w:r>
      <w:r w:rsidR="00F423CA" w:rsidRPr="0085443D">
        <w:rPr>
          <w:b/>
          <w:lang w:val="sr-Cyrl-BA"/>
        </w:rPr>
        <w:t xml:space="preserve"> </w:t>
      </w:r>
      <w:r w:rsidRPr="0085443D">
        <w:rPr>
          <w:b/>
          <w:lang w:val="sr-Cyrl-BA"/>
        </w:rPr>
        <w:t>i</w:t>
      </w:r>
      <w:r w:rsidR="00F423CA" w:rsidRPr="0085443D">
        <w:rPr>
          <w:b/>
          <w:lang w:val="sr-Cyrl-BA"/>
        </w:rPr>
        <w:t xml:space="preserve"> </w:t>
      </w:r>
      <w:r w:rsidRPr="0085443D">
        <w:rPr>
          <w:b/>
          <w:lang w:val="sr-Cyrl-BA"/>
        </w:rPr>
        <w:t>pokrivenost</w:t>
      </w:r>
    </w:p>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246"/>
        <w:gridCol w:w="1247"/>
        <w:gridCol w:w="1247"/>
        <w:gridCol w:w="1247"/>
        <w:gridCol w:w="1247"/>
      </w:tblGrid>
      <w:tr w:rsidR="00267D38" w:rsidRPr="0085443D" w14:paraId="34AAAB05" w14:textId="77777777" w:rsidTr="004946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none" w:sz="0" w:space="0" w:color="auto"/>
              <w:left w:val="none" w:sz="0" w:space="0" w:color="auto"/>
              <w:right w:val="none" w:sz="0" w:space="0" w:color="auto"/>
            </w:tcBorders>
          </w:tcPr>
          <w:p w14:paraId="466B0876" w14:textId="77777777" w:rsidR="00F423CA" w:rsidRPr="0085443D" w:rsidRDefault="005923C6" w:rsidP="00A02EC1">
            <w:pPr>
              <w:rPr>
                <w:color w:val="auto"/>
                <w:lang w:val="sr-Cyrl-BA"/>
              </w:rPr>
            </w:pPr>
            <w:r w:rsidRPr="0085443D">
              <w:rPr>
                <w:color w:val="auto"/>
                <w:lang w:val="sr-Cyrl-BA"/>
              </w:rPr>
              <w:t>Godina</w:t>
            </w:r>
          </w:p>
        </w:tc>
        <w:tc>
          <w:tcPr>
            <w:tcW w:w="666" w:type="pct"/>
            <w:tcBorders>
              <w:top w:val="none" w:sz="0" w:space="0" w:color="auto"/>
              <w:left w:val="none" w:sz="0" w:space="0" w:color="auto"/>
              <w:right w:val="none" w:sz="0" w:space="0" w:color="auto"/>
            </w:tcBorders>
          </w:tcPr>
          <w:p w14:paraId="133079F7" w14:textId="77777777" w:rsidR="00F423CA" w:rsidRPr="0085443D" w:rsidRDefault="00F423CA" w:rsidP="00A02EC1">
            <w:pPr>
              <w:jc w:val="cente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2012.</w:t>
            </w:r>
          </w:p>
        </w:tc>
        <w:tc>
          <w:tcPr>
            <w:tcW w:w="667" w:type="pct"/>
            <w:tcBorders>
              <w:top w:val="none" w:sz="0" w:space="0" w:color="auto"/>
              <w:left w:val="none" w:sz="0" w:space="0" w:color="auto"/>
              <w:right w:val="none" w:sz="0" w:space="0" w:color="auto"/>
            </w:tcBorders>
          </w:tcPr>
          <w:p w14:paraId="45C3A17E" w14:textId="77777777" w:rsidR="00F423CA" w:rsidRPr="0085443D" w:rsidRDefault="00F423CA" w:rsidP="00A02EC1">
            <w:pPr>
              <w:jc w:val="cente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2013.</w:t>
            </w:r>
          </w:p>
        </w:tc>
        <w:tc>
          <w:tcPr>
            <w:tcW w:w="667" w:type="pct"/>
            <w:tcBorders>
              <w:top w:val="none" w:sz="0" w:space="0" w:color="auto"/>
              <w:left w:val="none" w:sz="0" w:space="0" w:color="auto"/>
              <w:right w:val="none" w:sz="0" w:space="0" w:color="auto"/>
            </w:tcBorders>
          </w:tcPr>
          <w:p w14:paraId="7D17316A" w14:textId="77777777" w:rsidR="00F423CA" w:rsidRPr="0085443D" w:rsidRDefault="00F423CA" w:rsidP="00A02EC1">
            <w:pPr>
              <w:jc w:val="cente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2014.</w:t>
            </w:r>
          </w:p>
        </w:tc>
        <w:tc>
          <w:tcPr>
            <w:tcW w:w="667" w:type="pct"/>
            <w:tcBorders>
              <w:top w:val="none" w:sz="0" w:space="0" w:color="auto"/>
              <w:left w:val="none" w:sz="0" w:space="0" w:color="auto"/>
              <w:right w:val="none" w:sz="0" w:space="0" w:color="auto"/>
            </w:tcBorders>
          </w:tcPr>
          <w:p w14:paraId="7DCFBD1E" w14:textId="77777777" w:rsidR="00F423CA" w:rsidRPr="0085443D" w:rsidRDefault="00F423CA" w:rsidP="00A02EC1">
            <w:pPr>
              <w:jc w:val="cente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2015.</w:t>
            </w:r>
          </w:p>
        </w:tc>
        <w:tc>
          <w:tcPr>
            <w:tcW w:w="667" w:type="pct"/>
            <w:tcBorders>
              <w:top w:val="none" w:sz="0" w:space="0" w:color="auto"/>
              <w:left w:val="none" w:sz="0" w:space="0" w:color="auto"/>
              <w:right w:val="none" w:sz="0" w:space="0" w:color="auto"/>
            </w:tcBorders>
          </w:tcPr>
          <w:p w14:paraId="259733CB" w14:textId="77777777" w:rsidR="00F423CA" w:rsidRPr="0085443D" w:rsidRDefault="00F423CA" w:rsidP="00A02EC1">
            <w:pPr>
              <w:jc w:val="center"/>
              <w:cnfStyle w:val="100000000000" w:firstRow="1" w:lastRow="0" w:firstColumn="0" w:lastColumn="0" w:oddVBand="0" w:evenVBand="0" w:oddHBand="0" w:evenHBand="0" w:firstRowFirstColumn="0" w:firstRowLastColumn="0" w:lastRowFirstColumn="0" w:lastRowLastColumn="0"/>
              <w:rPr>
                <w:color w:val="auto"/>
              </w:rPr>
            </w:pPr>
            <w:r w:rsidRPr="0085443D">
              <w:rPr>
                <w:color w:val="auto"/>
              </w:rPr>
              <w:t>2016.</w:t>
            </w:r>
          </w:p>
        </w:tc>
      </w:tr>
      <w:tr w:rsidR="00267D38" w:rsidRPr="0085443D" w14:paraId="12B1A0C4" w14:textId="77777777" w:rsidTr="0049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tcBorders>
          </w:tcPr>
          <w:p w14:paraId="51AAB934" w14:textId="77777777" w:rsidR="00F423CA" w:rsidRPr="0085443D" w:rsidRDefault="005923C6" w:rsidP="00A02EC1">
            <w:pPr>
              <w:rPr>
                <w:color w:val="auto"/>
                <w:lang w:val="sr-Cyrl-BA"/>
              </w:rPr>
            </w:pPr>
            <w:r w:rsidRPr="0085443D">
              <w:rPr>
                <w:color w:val="auto"/>
                <w:lang w:val="sr-Cyrl-BA"/>
              </w:rPr>
              <w:t>Vrijednost</w:t>
            </w:r>
            <w:r w:rsidR="00F423CA" w:rsidRPr="0085443D">
              <w:rPr>
                <w:color w:val="auto"/>
                <w:lang w:val="sr-Cyrl-BA"/>
              </w:rPr>
              <w:t xml:space="preserve"> </w:t>
            </w:r>
            <w:r w:rsidRPr="0085443D">
              <w:rPr>
                <w:color w:val="auto"/>
                <w:lang w:val="sr-Cyrl-BA"/>
              </w:rPr>
              <w:t>izvoza</w:t>
            </w:r>
            <w:r w:rsidR="00F423CA" w:rsidRPr="0085443D">
              <w:rPr>
                <w:color w:val="auto"/>
                <w:lang w:val="sr-Cyrl-BA"/>
              </w:rPr>
              <w:t xml:space="preserve"> (</w:t>
            </w:r>
            <w:r w:rsidRPr="0085443D">
              <w:rPr>
                <w:color w:val="auto"/>
                <w:lang w:val="sr-Cyrl-BA"/>
              </w:rPr>
              <w:t>u</w:t>
            </w:r>
            <w:r w:rsidR="00F423CA" w:rsidRPr="0085443D">
              <w:rPr>
                <w:color w:val="auto"/>
                <w:lang w:val="sr-Cyrl-BA"/>
              </w:rPr>
              <w:t xml:space="preserve"> 000 </w:t>
            </w:r>
            <w:r w:rsidRPr="0085443D">
              <w:rPr>
                <w:color w:val="auto"/>
                <w:lang w:val="sr-Cyrl-BA"/>
              </w:rPr>
              <w:t>KM</w:t>
            </w:r>
            <w:r w:rsidR="00F423CA" w:rsidRPr="0085443D">
              <w:rPr>
                <w:color w:val="auto"/>
                <w:lang w:val="sr-Cyrl-BA"/>
              </w:rPr>
              <w:t>)</w:t>
            </w:r>
          </w:p>
        </w:tc>
        <w:tc>
          <w:tcPr>
            <w:tcW w:w="666" w:type="pct"/>
          </w:tcPr>
          <w:p w14:paraId="1D8FDED4" w14:textId="77777777" w:rsidR="00F423CA" w:rsidRPr="0085443D" w:rsidRDefault="00F423CA" w:rsidP="00A02EC1">
            <w:pPr>
              <w:jc w:val="cente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104.891</w:t>
            </w:r>
          </w:p>
        </w:tc>
        <w:tc>
          <w:tcPr>
            <w:tcW w:w="667" w:type="pct"/>
          </w:tcPr>
          <w:p w14:paraId="336423D0" w14:textId="77777777" w:rsidR="00F423CA" w:rsidRPr="0085443D" w:rsidRDefault="00F423CA" w:rsidP="00A02EC1">
            <w:pPr>
              <w:jc w:val="cente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117.826</w:t>
            </w:r>
          </w:p>
        </w:tc>
        <w:tc>
          <w:tcPr>
            <w:tcW w:w="667" w:type="pct"/>
          </w:tcPr>
          <w:p w14:paraId="23BEB044" w14:textId="77777777" w:rsidR="00F423CA" w:rsidRPr="0085443D" w:rsidRDefault="00F423CA" w:rsidP="00A02EC1">
            <w:pPr>
              <w:jc w:val="cente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131.065</w:t>
            </w:r>
          </w:p>
        </w:tc>
        <w:tc>
          <w:tcPr>
            <w:tcW w:w="667" w:type="pct"/>
          </w:tcPr>
          <w:p w14:paraId="657CE20A" w14:textId="77777777" w:rsidR="00F423CA" w:rsidRPr="0085443D" w:rsidRDefault="00F423CA" w:rsidP="00A02EC1">
            <w:pPr>
              <w:jc w:val="cente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135.372</w:t>
            </w:r>
          </w:p>
        </w:tc>
        <w:tc>
          <w:tcPr>
            <w:tcW w:w="667" w:type="pct"/>
          </w:tcPr>
          <w:p w14:paraId="02F88276" w14:textId="77777777" w:rsidR="00F423CA" w:rsidRPr="0085443D" w:rsidRDefault="00F423CA" w:rsidP="00A02EC1">
            <w:pPr>
              <w:jc w:val="center"/>
              <w:cnfStyle w:val="000000100000" w:firstRow="0" w:lastRow="0" w:firstColumn="0" w:lastColumn="0" w:oddVBand="0" w:evenVBand="0" w:oddHBand="1" w:evenHBand="0" w:firstRowFirstColumn="0" w:firstRowLastColumn="0" w:lastRowFirstColumn="0" w:lastRowLastColumn="0"/>
            </w:pPr>
            <w:r w:rsidRPr="0085443D">
              <w:t>192.754</w:t>
            </w:r>
          </w:p>
        </w:tc>
      </w:tr>
      <w:tr w:rsidR="00267D38" w:rsidRPr="0085443D" w14:paraId="1B98DFC6" w14:textId="77777777" w:rsidTr="00494631">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tcBorders>
          </w:tcPr>
          <w:p w14:paraId="43714603" w14:textId="77777777" w:rsidR="00F423CA" w:rsidRPr="0085443D" w:rsidRDefault="005923C6" w:rsidP="00A02EC1">
            <w:pPr>
              <w:rPr>
                <w:color w:val="auto"/>
                <w:lang w:val="sr-Cyrl-BA"/>
              </w:rPr>
            </w:pPr>
            <w:r w:rsidRPr="0085443D">
              <w:rPr>
                <w:color w:val="auto"/>
                <w:lang w:val="sr-Cyrl-BA"/>
              </w:rPr>
              <w:t>Vrijednost</w:t>
            </w:r>
            <w:r w:rsidR="00F423CA" w:rsidRPr="0085443D">
              <w:rPr>
                <w:color w:val="auto"/>
                <w:lang w:val="sr-Cyrl-BA"/>
              </w:rPr>
              <w:t xml:space="preserve"> </w:t>
            </w:r>
            <w:r w:rsidRPr="0085443D">
              <w:rPr>
                <w:color w:val="auto"/>
                <w:lang w:val="sr-Cyrl-BA"/>
              </w:rPr>
              <w:t>uvoza</w:t>
            </w:r>
            <w:r w:rsidR="00F423CA" w:rsidRPr="0085443D">
              <w:rPr>
                <w:color w:val="auto"/>
                <w:lang w:val="sr-Cyrl-BA"/>
              </w:rPr>
              <w:t xml:space="preserve"> (</w:t>
            </w:r>
            <w:r w:rsidRPr="0085443D">
              <w:rPr>
                <w:color w:val="auto"/>
                <w:lang w:val="sr-Cyrl-BA"/>
              </w:rPr>
              <w:t>u</w:t>
            </w:r>
            <w:r w:rsidR="00F423CA" w:rsidRPr="0085443D">
              <w:rPr>
                <w:color w:val="auto"/>
                <w:lang w:val="sr-Cyrl-BA"/>
              </w:rPr>
              <w:t xml:space="preserve"> 000 </w:t>
            </w:r>
            <w:r w:rsidRPr="0085443D">
              <w:rPr>
                <w:color w:val="auto"/>
                <w:lang w:val="sr-Cyrl-BA"/>
              </w:rPr>
              <w:t>KM</w:t>
            </w:r>
            <w:r w:rsidR="00F423CA" w:rsidRPr="0085443D">
              <w:rPr>
                <w:color w:val="auto"/>
                <w:lang w:val="sr-Cyrl-BA"/>
              </w:rPr>
              <w:t>)</w:t>
            </w:r>
          </w:p>
        </w:tc>
        <w:tc>
          <w:tcPr>
            <w:tcW w:w="666" w:type="pct"/>
          </w:tcPr>
          <w:p w14:paraId="6B97C484" w14:textId="77777777" w:rsidR="00F423CA" w:rsidRPr="0085443D" w:rsidRDefault="00F423CA" w:rsidP="00A02EC1">
            <w:pPr>
              <w:jc w:val="center"/>
              <w:cnfStyle w:val="000000000000" w:firstRow="0" w:lastRow="0" w:firstColumn="0" w:lastColumn="0" w:oddVBand="0" w:evenVBand="0" w:oddHBand="0" w:evenHBand="0" w:firstRowFirstColumn="0" w:firstRowLastColumn="0" w:lastRowFirstColumn="0" w:lastRowLastColumn="0"/>
              <w:rPr>
                <w:lang w:val="sr-Cyrl-BA"/>
              </w:rPr>
            </w:pPr>
            <w:r w:rsidRPr="0085443D">
              <w:rPr>
                <w:lang w:val="sr-Cyrl-BA"/>
              </w:rPr>
              <w:t>66.371</w:t>
            </w:r>
          </w:p>
        </w:tc>
        <w:tc>
          <w:tcPr>
            <w:tcW w:w="667" w:type="pct"/>
          </w:tcPr>
          <w:p w14:paraId="385AFD94" w14:textId="77777777" w:rsidR="00F423CA" w:rsidRPr="0085443D" w:rsidRDefault="00F423CA" w:rsidP="00A02EC1">
            <w:pPr>
              <w:jc w:val="center"/>
              <w:cnfStyle w:val="000000000000" w:firstRow="0" w:lastRow="0" w:firstColumn="0" w:lastColumn="0" w:oddVBand="0" w:evenVBand="0" w:oddHBand="0" w:evenHBand="0" w:firstRowFirstColumn="0" w:firstRowLastColumn="0" w:lastRowFirstColumn="0" w:lastRowLastColumn="0"/>
              <w:rPr>
                <w:lang w:val="sr-Cyrl-BA"/>
              </w:rPr>
            </w:pPr>
            <w:r w:rsidRPr="0085443D">
              <w:rPr>
                <w:lang w:val="sr-Cyrl-BA"/>
              </w:rPr>
              <w:t>69.267</w:t>
            </w:r>
          </w:p>
        </w:tc>
        <w:tc>
          <w:tcPr>
            <w:tcW w:w="667" w:type="pct"/>
          </w:tcPr>
          <w:p w14:paraId="15BEF9E6" w14:textId="77777777" w:rsidR="00F423CA" w:rsidRPr="0085443D" w:rsidRDefault="00F423CA" w:rsidP="00A02EC1">
            <w:pPr>
              <w:jc w:val="center"/>
              <w:cnfStyle w:val="000000000000" w:firstRow="0" w:lastRow="0" w:firstColumn="0" w:lastColumn="0" w:oddVBand="0" w:evenVBand="0" w:oddHBand="0" w:evenHBand="0" w:firstRowFirstColumn="0" w:firstRowLastColumn="0" w:lastRowFirstColumn="0" w:lastRowLastColumn="0"/>
              <w:rPr>
                <w:lang w:val="sr-Cyrl-BA"/>
              </w:rPr>
            </w:pPr>
            <w:r w:rsidRPr="0085443D">
              <w:rPr>
                <w:lang w:val="sr-Cyrl-BA"/>
              </w:rPr>
              <w:t>69.790</w:t>
            </w:r>
          </w:p>
        </w:tc>
        <w:tc>
          <w:tcPr>
            <w:tcW w:w="667" w:type="pct"/>
          </w:tcPr>
          <w:p w14:paraId="5A85ABF1" w14:textId="77777777" w:rsidR="00F423CA" w:rsidRPr="0085443D" w:rsidRDefault="00F423CA" w:rsidP="00A02EC1">
            <w:pPr>
              <w:jc w:val="center"/>
              <w:cnfStyle w:val="000000000000" w:firstRow="0" w:lastRow="0" w:firstColumn="0" w:lastColumn="0" w:oddVBand="0" w:evenVBand="0" w:oddHBand="0" w:evenHBand="0" w:firstRowFirstColumn="0" w:firstRowLastColumn="0" w:lastRowFirstColumn="0" w:lastRowLastColumn="0"/>
              <w:rPr>
                <w:lang w:val="sr-Cyrl-BA"/>
              </w:rPr>
            </w:pPr>
            <w:r w:rsidRPr="0085443D">
              <w:rPr>
                <w:lang w:val="sr-Cyrl-BA"/>
              </w:rPr>
              <w:t>73.519</w:t>
            </w:r>
          </w:p>
        </w:tc>
        <w:tc>
          <w:tcPr>
            <w:tcW w:w="667" w:type="pct"/>
          </w:tcPr>
          <w:p w14:paraId="55223004" w14:textId="77777777" w:rsidR="00F423CA" w:rsidRPr="0085443D" w:rsidRDefault="00F423CA" w:rsidP="00A02EC1">
            <w:pPr>
              <w:jc w:val="center"/>
              <w:cnfStyle w:val="000000000000" w:firstRow="0" w:lastRow="0" w:firstColumn="0" w:lastColumn="0" w:oddVBand="0" w:evenVBand="0" w:oddHBand="0" w:evenHBand="0" w:firstRowFirstColumn="0" w:firstRowLastColumn="0" w:lastRowFirstColumn="0" w:lastRowLastColumn="0"/>
            </w:pPr>
            <w:r w:rsidRPr="0085443D">
              <w:t>115.232</w:t>
            </w:r>
          </w:p>
        </w:tc>
      </w:tr>
      <w:tr w:rsidR="00267D38" w:rsidRPr="0085443D" w14:paraId="35F45081" w14:textId="77777777" w:rsidTr="0049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left w:val="none" w:sz="0" w:space="0" w:color="auto"/>
              <w:bottom w:val="none" w:sz="0" w:space="0" w:color="auto"/>
            </w:tcBorders>
          </w:tcPr>
          <w:p w14:paraId="6A038DD5" w14:textId="77777777" w:rsidR="00F423CA" w:rsidRPr="0085443D" w:rsidRDefault="005923C6" w:rsidP="00A02EC1">
            <w:pPr>
              <w:rPr>
                <w:color w:val="auto"/>
                <w:lang w:val="sr-Cyrl-BA"/>
              </w:rPr>
            </w:pPr>
            <w:r w:rsidRPr="0085443D">
              <w:rPr>
                <w:color w:val="auto"/>
                <w:lang w:val="sr-Cyrl-BA"/>
              </w:rPr>
              <w:t>Pokrivenost</w:t>
            </w:r>
            <w:r w:rsidR="00F423CA" w:rsidRPr="0085443D">
              <w:rPr>
                <w:color w:val="auto"/>
                <w:lang w:val="sr-Cyrl-BA"/>
              </w:rPr>
              <w:t xml:space="preserve"> </w:t>
            </w:r>
            <w:r w:rsidRPr="0085443D">
              <w:rPr>
                <w:color w:val="auto"/>
                <w:lang w:val="sr-Cyrl-BA"/>
              </w:rPr>
              <w:t>uvoza</w:t>
            </w:r>
            <w:r w:rsidR="00F423CA" w:rsidRPr="0085443D">
              <w:rPr>
                <w:color w:val="auto"/>
                <w:lang w:val="sr-Cyrl-BA"/>
              </w:rPr>
              <w:t xml:space="preserve"> </w:t>
            </w:r>
            <w:r w:rsidRPr="0085443D">
              <w:rPr>
                <w:color w:val="auto"/>
                <w:lang w:val="sr-Cyrl-BA"/>
              </w:rPr>
              <w:t>izvozom</w:t>
            </w:r>
            <w:r w:rsidR="00F423CA" w:rsidRPr="0085443D">
              <w:rPr>
                <w:color w:val="auto"/>
                <w:lang w:val="sr-Cyrl-BA"/>
              </w:rPr>
              <w:t xml:space="preserve"> (%)</w:t>
            </w:r>
          </w:p>
        </w:tc>
        <w:tc>
          <w:tcPr>
            <w:tcW w:w="666" w:type="pct"/>
          </w:tcPr>
          <w:p w14:paraId="256521BC" w14:textId="77777777" w:rsidR="00F423CA" w:rsidRPr="0085443D" w:rsidRDefault="00F423CA" w:rsidP="00A02EC1">
            <w:pPr>
              <w:jc w:val="cente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158,0</w:t>
            </w:r>
          </w:p>
        </w:tc>
        <w:tc>
          <w:tcPr>
            <w:tcW w:w="667" w:type="pct"/>
          </w:tcPr>
          <w:p w14:paraId="33CBFEB7" w14:textId="77777777" w:rsidR="00F423CA" w:rsidRPr="0085443D" w:rsidRDefault="00F423CA" w:rsidP="00A02EC1">
            <w:pPr>
              <w:jc w:val="cente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170,1</w:t>
            </w:r>
          </w:p>
        </w:tc>
        <w:tc>
          <w:tcPr>
            <w:tcW w:w="667" w:type="pct"/>
          </w:tcPr>
          <w:p w14:paraId="33F78F05" w14:textId="77777777" w:rsidR="00F423CA" w:rsidRPr="0085443D" w:rsidRDefault="00F423CA" w:rsidP="00A02EC1">
            <w:pPr>
              <w:jc w:val="cente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187,8</w:t>
            </w:r>
          </w:p>
        </w:tc>
        <w:tc>
          <w:tcPr>
            <w:tcW w:w="667" w:type="pct"/>
          </w:tcPr>
          <w:p w14:paraId="3B3672CE" w14:textId="77777777" w:rsidR="00F423CA" w:rsidRPr="0085443D" w:rsidRDefault="00F423CA" w:rsidP="00A02EC1">
            <w:pPr>
              <w:jc w:val="cente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184,1</w:t>
            </w:r>
          </w:p>
        </w:tc>
        <w:tc>
          <w:tcPr>
            <w:tcW w:w="667" w:type="pct"/>
          </w:tcPr>
          <w:p w14:paraId="32DF2752" w14:textId="77777777" w:rsidR="00F423CA" w:rsidRPr="0085443D" w:rsidRDefault="00F423CA" w:rsidP="00A02EC1">
            <w:pPr>
              <w:jc w:val="center"/>
              <w:cnfStyle w:val="000000100000" w:firstRow="0" w:lastRow="0" w:firstColumn="0" w:lastColumn="0" w:oddVBand="0" w:evenVBand="0" w:oddHBand="1" w:evenHBand="0" w:firstRowFirstColumn="0" w:firstRowLastColumn="0" w:lastRowFirstColumn="0" w:lastRowLastColumn="0"/>
            </w:pPr>
            <w:r w:rsidRPr="0085443D">
              <w:t>167.27</w:t>
            </w:r>
          </w:p>
        </w:tc>
      </w:tr>
    </w:tbl>
    <w:p w14:paraId="78C124ED" w14:textId="77777777" w:rsidR="00F423CA" w:rsidRPr="0085443D" w:rsidRDefault="005923C6" w:rsidP="00F423CA">
      <w:pPr>
        <w:rPr>
          <w:i/>
          <w:sz w:val="20"/>
          <w:szCs w:val="18"/>
          <w:lang w:val="sr-Cyrl-BA"/>
        </w:rPr>
      </w:pPr>
      <w:r w:rsidRPr="0085443D">
        <w:rPr>
          <w:i/>
          <w:sz w:val="20"/>
          <w:szCs w:val="18"/>
          <w:lang w:val="sr-Cyrl-BA"/>
        </w:rPr>
        <w:t>Izvor</w:t>
      </w:r>
      <w:r w:rsidR="00F423CA" w:rsidRPr="0085443D">
        <w:rPr>
          <w:i/>
          <w:sz w:val="20"/>
          <w:szCs w:val="18"/>
          <w:lang w:val="sr-Cyrl-BA"/>
        </w:rPr>
        <w:t xml:space="preserve">: </w:t>
      </w:r>
      <w:r w:rsidRPr="0085443D">
        <w:rPr>
          <w:i/>
          <w:sz w:val="20"/>
          <w:szCs w:val="18"/>
          <w:lang w:val="sr-Cyrl-BA"/>
        </w:rPr>
        <w:t>Informacija</w:t>
      </w:r>
      <w:r w:rsidR="00F423CA" w:rsidRPr="0085443D">
        <w:rPr>
          <w:i/>
          <w:sz w:val="20"/>
          <w:szCs w:val="18"/>
          <w:lang w:val="sr-Cyrl-BA"/>
        </w:rPr>
        <w:t xml:space="preserve"> </w:t>
      </w:r>
      <w:r w:rsidRPr="0085443D">
        <w:rPr>
          <w:i/>
          <w:sz w:val="20"/>
          <w:szCs w:val="18"/>
          <w:lang w:val="sr-Cyrl-BA"/>
        </w:rPr>
        <w:t>o</w:t>
      </w:r>
      <w:r w:rsidR="00F423CA" w:rsidRPr="0085443D">
        <w:rPr>
          <w:i/>
          <w:sz w:val="20"/>
          <w:szCs w:val="18"/>
          <w:lang w:val="sr-Cyrl-BA"/>
        </w:rPr>
        <w:t xml:space="preserve"> </w:t>
      </w:r>
      <w:r w:rsidRPr="0085443D">
        <w:rPr>
          <w:i/>
          <w:sz w:val="20"/>
          <w:szCs w:val="18"/>
          <w:lang w:val="sr-Cyrl-BA"/>
        </w:rPr>
        <w:t>privrednim</w:t>
      </w:r>
      <w:r w:rsidR="00F423CA" w:rsidRPr="0085443D">
        <w:rPr>
          <w:i/>
          <w:sz w:val="20"/>
          <w:szCs w:val="18"/>
          <w:lang w:val="sr-Cyrl-BA"/>
        </w:rPr>
        <w:t xml:space="preserve"> </w:t>
      </w:r>
      <w:r w:rsidRPr="0085443D">
        <w:rPr>
          <w:i/>
          <w:sz w:val="20"/>
          <w:szCs w:val="18"/>
          <w:lang w:val="sr-Cyrl-BA"/>
        </w:rPr>
        <w:t>kretanjima</w:t>
      </w:r>
      <w:r w:rsidR="00F423CA" w:rsidRPr="0085443D">
        <w:rPr>
          <w:i/>
          <w:sz w:val="20"/>
          <w:szCs w:val="18"/>
          <w:lang w:val="sr-Cyrl-BA"/>
        </w:rPr>
        <w:t xml:space="preserve"> </w:t>
      </w:r>
      <w:r w:rsidRPr="0085443D">
        <w:rPr>
          <w:i/>
          <w:sz w:val="20"/>
          <w:szCs w:val="18"/>
          <w:lang w:val="sr-Cyrl-BA"/>
        </w:rPr>
        <w:t>u</w:t>
      </w:r>
      <w:r w:rsidR="00F423CA" w:rsidRPr="0085443D">
        <w:rPr>
          <w:i/>
          <w:sz w:val="20"/>
          <w:szCs w:val="18"/>
          <w:lang w:val="sr-Cyrl-BA"/>
        </w:rPr>
        <w:t xml:space="preserve"> </w:t>
      </w:r>
      <w:r w:rsidRPr="0085443D">
        <w:rPr>
          <w:i/>
          <w:sz w:val="20"/>
          <w:szCs w:val="18"/>
          <w:lang w:val="sr-Cyrl-BA"/>
        </w:rPr>
        <w:t>RS</w:t>
      </w:r>
      <w:r w:rsidR="00F423CA" w:rsidRPr="0085443D">
        <w:rPr>
          <w:i/>
          <w:sz w:val="20"/>
          <w:szCs w:val="18"/>
          <w:lang w:val="sr-Cyrl-BA"/>
        </w:rPr>
        <w:t xml:space="preserve"> </w:t>
      </w:r>
      <w:r w:rsidRPr="0085443D">
        <w:rPr>
          <w:i/>
          <w:sz w:val="20"/>
          <w:szCs w:val="18"/>
          <w:lang w:val="sr-Cyrl-BA"/>
        </w:rPr>
        <w:t>i</w:t>
      </w:r>
      <w:r w:rsidR="00F423CA" w:rsidRPr="0085443D">
        <w:rPr>
          <w:i/>
          <w:sz w:val="20"/>
          <w:szCs w:val="18"/>
          <w:lang w:val="sr-Cyrl-BA"/>
        </w:rPr>
        <w:t xml:space="preserve"> </w:t>
      </w:r>
      <w:r w:rsidRPr="0085443D">
        <w:rPr>
          <w:i/>
          <w:sz w:val="20"/>
          <w:szCs w:val="18"/>
          <w:lang w:val="sr-Cyrl-BA"/>
        </w:rPr>
        <w:t>području</w:t>
      </w:r>
      <w:r w:rsidR="00F423CA" w:rsidRPr="0085443D">
        <w:rPr>
          <w:i/>
          <w:sz w:val="20"/>
          <w:szCs w:val="18"/>
          <w:lang w:val="sr-Cyrl-BA"/>
        </w:rPr>
        <w:t xml:space="preserve"> </w:t>
      </w:r>
      <w:r w:rsidRPr="0085443D">
        <w:rPr>
          <w:i/>
          <w:sz w:val="20"/>
          <w:szCs w:val="18"/>
          <w:lang w:val="sr-Cyrl-BA"/>
        </w:rPr>
        <w:t>Komore</w:t>
      </w:r>
      <w:r w:rsidR="00F423CA" w:rsidRPr="0085443D">
        <w:rPr>
          <w:i/>
          <w:sz w:val="20"/>
          <w:szCs w:val="18"/>
          <w:lang w:val="sr-Cyrl-BA"/>
        </w:rPr>
        <w:t xml:space="preserve"> </w:t>
      </w:r>
      <w:r w:rsidRPr="0085443D">
        <w:rPr>
          <w:i/>
          <w:sz w:val="20"/>
          <w:szCs w:val="18"/>
          <w:lang w:val="sr-Cyrl-BA"/>
        </w:rPr>
        <w:t>Banja</w:t>
      </w:r>
      <w:r w:rsidR="00F423CA" w:rsidRPr="0085443D">
        <w:rPr>
          <w:i/>
          <w:sz w:val="20"/>
          <w:szCs w:val="18"/>
          <w:lang w:val="sr-Cyrl-BA"/>
        </w:rPr>
        <w:t xml:space="preserve"> </w:t>
      </w:r>
      <w:r w:rsidRPr="0085443D">
        <w:rPr>
          <w:i/>
          <w:sz w:val="20"/>
          <w:szCs w:val="18"/>
          <w:lang w:val="sr-Cyrl-BA"/>
        </w:rPr>
        <w:t>Luka</w:t>
      </w:r>
      <w:r w:rsidR="00F423CA" w:rsidRPr="0085443D">
        <w:rPr>
          <w:i/>
          <w:sz w:val="20"/>
          <w:szCs w:val="18"/>
          <w:lang w:val="sr-Cyrl-BA"/>
        </w:rPr>
        <w:t xml:space="preserve"> </w:t>
      </w:r>
      <w:r w:rsidRPr="0085443D">
        <w:rPr>
          <w:i/>
          <w:sz w:val="20"/>
          <w:szCs w:val="18"/>
          <w:lang w:val="sr-Cyrl-BA"/>
        </w:rPr>
        <w:t>za</w:t>
      </w:r>
      <w:r w:rsidR="00F423CA" w:rsidRPr="0085443D">
        <w:rPr>
          <w:i/>
          <w:sz w:val="20"/>
          <w:szCs w:val="18"/>
          <w:lang w:val="sr-Cyrl-BA"/>
        </w:rPr>
        <w:t xml:space="preserve"> </w:t>
      </w:r>
      <w:r w:rsidRPr="0085443D">
        <w:rPr>
          <w:i/>
          <w:sz w:val="20"/>
          <w:szCs w:val="18"/>
          <w:lang w:val="sr-Cyrl-BA"/>
        </w:rPr>
        <w:t>period</w:t>
      </w:r>
      <w:r w:rsidR="00F423CA" w:rsidRPr="0085443D">
        <w:rPr>
          <w:i/>
          <w:sz w:val="20"/>
          <w:szCs w:val="18"/>
          <w:lang w:val="sr-Cyrl-BA"/>
        </w:rPr>
        <w:t xml:space="preserve"> </w:t>
      </w:r>
      <w:r w:rsidRPr="0085443D">
        <w:rPr>
          <w:i/>
          <w:sz w:val="20"/>
          <w:szCs w:val="18"/>
          <w:lang w:val="sr-Cyrl-BA"/>
        </w:rPr>
        <w:t>januar</w:t>
      </w:r>
      <w:r w:rsidR="00F423CA" w:rsidRPr="0085443D">
        <w:rPr>
          <w:i/>
          <w:sz w:val="20"/>
          <w:szCs w:val="18"/>
          <w:lang w:val="sr-Cyrl-BA"/>
        </w:rPr>
        <w:t>-</w:t>
      </w:r>
      <w:r w:rsidRPr="0085443D">
        <w:rPr>
          <w:i/>
          <w:sz w:val="20"/>
          <w:szCs w:val="18"/>
          <w:lang w:val="sr-Cyrl-BA"/>
        </w:rPr>
        <w:t>septembar</w:t>
      </w:r>
      <w:r w:rsidR="00F423CA" w:rsidRPr="0085443D">
        <w:rPr>
          <w:i/>
          <w:sz w:val="20"/>
          <w:szCs w:val="18"/>
          <w:lang w:val="sr-Cyrl-BA"/>
        </w:rPr>
        <w:t xml:space="preserve"> 2016. </w:t>
      </w:r>
    </w:p>
    <w:p w14:paraId="24B27D8D" w14:textId="77777777" w:rsidR="00F423CA" w:rsidRPr="0085443D" w:rsidRDefault="00951036" w:rsidP="00951036">
      <w:pPr>
        <w:jc w:val="both"/>
      </w:pPr>
      <w:r w:rsidRPr="0085443D">
        <w:t xml:space="preserve">Obim spoljnotrgovinske razmjene je u stalnom porastu, a važno je uočiti da je u stalnom rastu i izvoz koji je svake godine veći od uvoza, što ukazuje na konkurentnost lokalnih privrednih subjekata na izvoznim tržištima. </w:t>
      </w:r>
    </w:p>
    <w:p w14:paraId="6E8761F6" w14:textId="77777777" w:rsidR="00951036" w:rsidRPr="0085443D" w:rsidRDefault="00951036" w:rsidP="00F423CA"/>
    <w:p w14:paraId="5AC60F1B" w14:textId="77777777" w:rsidR="00F423CA" w:rsidRPr="0085443D" w:rsidRDefault="00267D38" w:rsidP="00F423CA">
      <w:pPr>
        <w:rPr>
          <w:b/>
          <w:lang w:val="sr-Cyrl-BA"/>
        </w:rPr>
      </w:pPr>
      <w:r w:rsidRPr="0085443D">
        <w:rPr>
          <w:b/>
          <w:lang w:val="sr-Cyrl-BA"/>
        </w:rPr>
        <w:t>Prosječne plate</w:t>
      </w:r>
    </w:p>
    <w:tbl>
      <w:tblPr>
        <w:tblStyle w:val="GridTable5Dark-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247"/>
        <w:gridCol w:w="1247"/>
        <w:gridCol w:w="1247"/>
        <w:gridCol w:w="1247"/>
        <w:gridCol w:w="1248"/>
      </w:tblGrid>
      <w:tr w:rsidR="00CE3DB4" w:rsidRPr="0085443D" w14:paraId="43E2B77E" w14:textId="77777777" w:rsidTr="004946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right w:val="none" w:sz="0" w:space="0" w:color="auto"/>
            </w:tcBorders>
          </w:tcPr>
          <w:p w14:paraId="7B3E58A5" w14:textId="77777777" w:rsidR="00CE3DB4" w:rsidRPr="0085443D" w:rsidRDefault="00CE3DB4" w:rsidP="00A02EC1">
            <w:pPr>
              <w:rPr>
                <w:color w:val="auto"/>
                <w:lang w:val="sr-Cyrl-BA"/>
              </w:rPr>
            </w:pPr>
            <w:r w:rsidRPr="0085443D">
              <w:rPr>
                <w:color w:val="auto"/>
                <w:lang w:val="sr-Cyrl-BA"/>
              </w:rPr>
              <w:t>Godina</w:t>
            </w:r>
          </w:p>
        </w:tc>
        <w:tc>
          <w:tcPr>
            <w:tcW w:w="1247" w:type="dxa"/>
            <w:tcBorders>
              <w:top w:val="none" w:sz="0" w:space="0" w:color="auto"/>
              <w:left w:val="none" w:sz="0" w:space="0" w:color="auto"/>
              <w:right w:val="none" w:sz="0" w:space="0" w:color="auto"/>
            </w:tcBorders>
          </w:tcPr>
          <w:p w14:paraId="21DBA9FB" w14:textId="77777777" w:rsidR="00CE3DB4" w:rsidRPr="0085443D" w:rsidRDefault="00CE3DB4" w:rsidP="00A02EC1">
            <w:pPr>
              <w:jc w:val="cente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2012.</w:t>
            </w:r>
          </w:p>
        </w:tc>
        <w:tc>
          <w:tcPr>
            <w:tcW w:w="1247" w:type="dxa"/>
            <w:tcBorders>
              <w:top w:val="none" w:sz="0" w:space="0" w:color="auto"/>
              <w:left w:val="none" w:sz="0" w:space="0" w:color="auto"/>
              <w:right w:val="none" w:sz="0" w:space="0" w:color="auto"/>
            </w:tcBorders>
          </w:tcPr>
          <w:p w14:paraId="0314B55D" w14:textId="77777777" w:rsidR="00CE3DB4" w:rsidRPr="0085443D" w:rsidRDefault="00CE3DB4" w:rsidP="00A02EC1">
            <w:pPr>
              <w:jc w:val="cente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2013.</w:t>
            </w:r>
          </w:p>
        </w:tc>
        <w:tc>
          <w:tcPr>
            <w:tcW w:w="1247" w:type="dxa"/>
            <w:tcBorders>
              <w:top w:val="none" w:sz="0" w:space="0" w:color="auto"/>
              <w:left w:val="none" w:sz="0" w:space="0" w:color="auto"/>
              <w:right w:val="none" w:sz="0" w:space="0" w:color="auto"/>
            </w:tcBorders>
          </w:tcPr>
          <w:p w14:paraId="4C7E6695" w14:textId="77777777" w:rsidR="00CE3DB4" w:rsidRPr="0085443D" w:rsidRDefault="00CE3DB4" w:rsidP="00A02EC1">
            <w:pPr>
              <w:jc w:val="cente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2014.</w:t>
            </w:r>
          </w:p>
        </w:tc>
        <w:tc>
          <w:tcPr>
            <w:tcW w:w="1247" w:type="dxa"/>
            <w:tcBorders>
              <w:top w:val="none" w:sz="0" w:space="0" w:color="auto"/>
              <w:left w:val="none" w:sz="0" w:space="0" w:color="auto"/>
              <w:right w:val="none" w:sz="0" w:space="0" w:color="auto"/>
            </w:tcBorders>
          </w:tcPr>
          <w:p w14:paraId="28324C02" w14:textId="77777777" w:rsidR="00CE3DB4" w:rsidRPr="0085443D" w:rsidRDefault="00CE3DB4" w:rsidP="00A02EC1">
            <w:pPr>
              <w:jc w:val="cente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2015.</w:t>
            </w:r>
          </w:p>
        </w:tc>
        <w:tc>
          <w:tcPr>
            <w:tcW w:w="1248" w:type="dxa"/>
            <w:tcBorders>
              <w:top w:val="none" w:sz="0" w:space="0" w:color="auto"/>
              <w:left w:val="none" w:sz="0" w:space="0" w:color="auto"/>
              <w:right w:val="none" w:sz="0" w:space="0" w:color="auto"/>
            </w:tcBorders>
          </w:tcPr>
          <w:p w14:paraId="2C9AA618" w14:textId="77777777" w:rsidR="00CE3DB4" w:rsidRPr="0085443D" w:rsidRDefault="00CE3DB4" w:rsidP="00A02EC1">
            <w:pPr>
              <w:jc w:val="center"/>
              <w:cnfStyle w:val="100000000000" w:firstRow="1" w:lastRow="0" w:firstColumn="0" w:lastColumn="0" w:oddVBand="0" w:evenVBand="0" w:oddHBand="0" w:evenHBand="0" w:firstRowFirstColumn="0" w:firstRowLastColumn="0" w:lastRowFirstColumn="0" w:lastRowLastColumn="0"/>
            </w:pPr>
            <w:r w:rsidRPr="002B6EB6">
              <w:rPr>
                <w:color w:val="auto"/>
                <w:lang w:val="sr-Cyrl-BA"/>
              </w:rPr>
              <w:t>2016.</w:t>
            </w:r>
          </w:p>
        </w:tc>
      </w:tr>
      <w:tr w:rsidR="002B6EB6" w:rsidRPr="0085443D" w14:paraId="190D5E72" w14:textId="77777777" w:rsidTr="00494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left w:val="none" w:sz="0" w:space="0" w:color="auto"/>
            </w:tcBorders>
          </w:tcPr>
          <w:p w14:paraId="6BA62F44" w14:textId="77777777" w:rsidR="002B6EB6" w:rsidRPr="0085443D" w:rsidRDefault="002B6EB6" w:rsidP="002B6EB6">
            <w:pPr>
              <w:rPr>
                <w:color w:val="auto"/>
                <w:lang w:val="sr-Cyrl-BA"/>
              </w:rPr>
            </w:pPr>
            <w:r w:rsidRPr="0085443D">
              <w:rPr>
                <w:color w:val="auto"/>
                <w:lang w:val="sr-Cyrl-BA"/>
              </w:rPr>
              <w:t>Prosječne bruto plate (KM)</w:t>
            </w:r>
          </w:p>
        </w:tc>
        <w:tc>
          <w:tcPr>
            <w:tcW w:w="1247" w:type="dxa"/>
          </w:tcPr>
          <w:p w14:paraId="61704361" w14:textId="77777777" w:rsidR="002B6EB6" w:rsidRPr="0085443D" w:rsidRDefault="002B6EB6" w:rsidP="002B6EB6">
            <w:pPr>
              <w:jc w:val="cente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1.105</w:t>
            </w:r>
          </w:p>
        </w:tc>
        <w:tc>
          <w:tcPr>
            <w:tcW w:w="1247" w:type="dxa"/>
          </w:tcPr>
          <w:p w14:paraId="2AD5CDDC" w14:textId="77777777" w:rsidR="002B6EB6" w:rsidRPr="0085443D" w:rsidRDefault="002B6EB6" w:rsidP="002B6EB6">
            <w:pPr>
              <w:jc w:val="cente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1.082</w:t>
            </w:r>
          </w:p>
        </w:tc>
        <w:tc>
          <w:tcPr>
            <w:tcW w:w="1247" w:type="dxa"/>
          </w:tcPr>
          <w:p w14:paraId="674740CB" w14:textId="77777777" w:rsidR="002B6EB6" w:rsidRPr="0085443D" w:rsidRDefault="002B6EB6" w:rsidP="002B6EB6">
            <w:pPr>
              <w:jc w:val="cente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1.087</w:t>
            </w:r>
          </w:p>
        </w:tc>
        <w:tc>
          <w:tcPr>
            <w:tcW w:w="1247" w:type="dxa"/>
          </w:tcPr>
          <w:p w14:paraId="338D9DB7" w14:textId="77777777" w:rsidR="002B6EB6" w:rsidRPr="0085443D" w:rsidRDefault="002B6EB6" w:rsidP="002B6EB6">
            <w:pPr>
              <w:jc w:val="cente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1.074</w:t>
            </w:r>
          </w:p>
        </w:tc>
        <w:tc>
          <w:tcPr>
            <w:tcW w:w="1248" w:type="dxa"/>
          </w:tcPr>
          <w:p w14:paraId="5AE83385" w14:textId="5AB32271" w:rsidR="002B6EB6" w:rsidRPr="002B6EB6" w:rsidRDefault="002B6EB6" w:rsidP="002B6EB6">
            <w:pPr>
              <w:jc w:val="center"/>
              <w:cnfStyle w:val="000000100000" w:firstRow="0" w:lastRow="0" w:firstColumn="0" w:lastColumn="0" w:oddVBand="0" w:evenVBand="0" w:oddHBand="1" w:evenHBand="0" w:firstRowFirstColumn="0" w:firstRowLastColumn="0" w:lastRowFirstColumn="0" w:lastRowLastColumn="0"/>
              <w:rPr>
                <w:highlight w:val="cyan"/>
                <w:lang w:val="sr-Cyrl-BA"/>
              </w:rPr>
            </w:pPr>
            <w:r w:rsidRPr="002B6EB6">
              <w:rPr>
                <w:highlight w:val="cyan"/>
              </w:rPr>
              <w:t>1.085</w:t>
            </w:r>
          </w:p>
        </w:tc>
      </w:tr>
      <w:tr w:rsidR="002B6EB6" w:rsidRPr="0085443D" w14:paraId="3E3C19D6" w14:textId="77777777" w:rsidTr="00494631">
        <w:tc>
          <w:tcPr>
            <w:cnfStyle w:val="001000000000" w:firstRow="0" w:lastRow="0" w:firstColumn="1" w:lastColumn="0" w:oddVBand="0" w:evenVBand="0" w:oddHBand="0" w:evenHBand="0" w:firstRowFirstColumn="0" w:firstRowLastColumn="0" w:lastRowFirstColumn="0" w:lastRowLastColumn="0"/>
            <w:tcW w:w="3114" w:type="dxa"/>
            <w:tcBorders>
              <w:left w:val="none" w:sz="0" w:space="0" w:color="auto"/>
              <w:bottom w:val="none" w:sz="0" w:space="0" w:color="auto"/>
            </w:tcBorders>
          </w:tcPr>
          <w:p w14:paraId="30ECE8D2" w14:textId="77777777" w:rsidR="002B6EB6" w:rsidRPr="0085443D" w:rsidRDefault="002B6EB6" w:rsidP="002B6EB6">
            <w:pPr>
              <w:rPr>
                <w:color w:val="auto"/>
                <w:lang w:val="sr-Cyrl-BA"/>
              </w:rPr>
            </w:pPr>
            <w:r w:rsidRPr="0085443D">
              <w:rPr>
                <w:color w:val="auto"/>
                <w:lang w:val="sr-Cyrl-BA"/>
              </w:rPr>
              <w:t>Prosječne neto plate (KM)</w:t>
            </w:r>
          </w:p>
        </w:tc>
        <w:tc>
          <w:tcPr>
            <w:tcW w:w="1247" w:type="dxa"/>
          </w:tcPr>
          <w:p w14:paraId="0BAC9CFB" w14:textId="77777777" w:rsidR="002B6EB6" w:rsidRPr="0085443D" w:rsidRDefault="002B6EB6" w:rsidP="002B6EB6">
            <w:pPr>
              <w:jc w:val="center"/>
              <w:cnfStyle w:val="000000000000" w:firstRow="0" w:lastRow="0" w:firstColumn="0" w:lastColumn="0" w:oddVBand="0" w:evenVBand="0" w:oddHBand="0" w:evenHBand="0" w:firstRowFirstColumn="0" w:firstRowLastColumn="0" w:lastRowFirstColumn="0" w:lastRowLastColumn="0"/>
              <w:rPr>
                <w:lang w:val="sr-Cyrl-BA"/>
              </w:rPr>
            </w:pPr>
            <w:r w:rsidRPr="0085443D">
              <w:rPr>
                <w:lang w:val="sr-Cyrl-BA"/>
              </w:rPr>
              <w:t>670</w:t>
            </w:r>
          </w:p>
        </w:tc>
        <w:tc>
          <w:tcPr>
            <w:tcW w:w="1247" w:type="dxa"/>
          </w:tcPr>
          <w:p w14:paraId="780EF0BE" w14:textId="77777777" w:rsidR="002B6EB6" w:rsidRPr="0085443D" w:rsidRDefault="002B6EB6" w:rsidP="002B6EB6">
            <w:pPr>
              <w:jc w:val="center"/>
              <w:cnfStyle w:val="000000000000" w:firstRow="0" w:lastRow="0" w:firstColumn="0" w:lastColumn="0" w:oddVBand="0" w:evenVBand="0" w:oddHBand="0" w:evenHBand="0" w:firstRowFirstColumn="0" w:firstRowLastColumn="0" w:lastRowFirstColumn="0" w:lastRowLastColumn="0"/>
              <w:rPr>
                <w:lang w:val="sr-Cyrl-BA"/>
              </w:rPr>
            </w:pPr>
            <w:r w:rsidRPr="0085443D">
              <w:rPr>
                <w:lang w:val="sr-Cyrl-BA"/>
              </w:rPr>
              <w:t>656</w:t>
            </w:r>
          </w:p>
        </w:tc>
        <w:tc>
          <w:tcPr>
            <w:tcW w:w="1247" w:type="dxa"/>
          </w:tcPr>
          <w:p w14:paraId="7036A5A0" w14:textId="77777777" w:rsidR="002B6EB6" w:rsidRPr="0085443D" w:rsidRDefault="002B6EB6" w:rsidP="002B6EB6">
            <w:pPr>
              <w:jc w:val="center"/>
              <w:cnfStyle w:val="000000000000" w:firstRow="0" w:lastRow="0" w:firstColumn="0" w:lastColumn="0" w:oddVBand="0" w:evenVBand="0" w:oddHBand="0" w:evenHBand="0" w:firstRowFirstColumn="0" w:firstRowLastColumn="0" w:lastRowFirstColumn="0" w:lastRowLastColumn="0"/>
              <w:rPr>
                <w:lang w:val="sr-Cyrl-BA"/>
              </w:rPr>
            </w:pPr>
            <w:r w:rsidRPr="0085443D">
              <w:rPr>
                <w:lang w:val="sr-Cyrl-BA"/>
              </w:rPr>
              <w:t>672</w:t>
            </w:r>
          </w:p>
        </w:tc>
        <w:tc>
          <w:tcPr>
            <w:tcW w:w="1247" w:type="dxa"/>
          </w:tcPr>
          <w:p w14:paraId="7B7CEE05" w14:textId="77777777" w:rsidR="002B6EB6" w:rsidRPr="0085443D" w:rsidRDefault="002B6EB6" w:rsidP="002B6EB6">
            <w:pPr>
              <w:jc w:val="center"/>
              <w:cnfStyle w:val="000000000000" w:firstRow="0" w:lastRow="0" w:firstColumn="0" w:lastColumn="0" w:oddVBand="0" w:evenVBand="0" w:oddHBand="0" w:evenHBand="0" w:firstRowFirstColumn="0" w:firstRowLastColumn="0" w:lastRowFirstColumn="0" w:lastRowLastColumn="0"/>
              <w:rPr>
                <w:lang w:val="sr-Cyrl-BA"/>
              </w:rPr>
            </w:pPr>
            <w:r w:rsidRPr="0085443D">
              <w:rPr>
                <w:lang w:val="sr-Cyrl-BA"/>
              </w:rPr>
              <w:t>668</w:t>
            </w:r>
          </w:p>
        </w:tc>
        <w:tc>
          <w:tcPr>
            <w:tcW w:w="1248" w:type="dxa"/>
          </w:tcPr>
          <w:p w14:paraId="02C4429C" w14:textId="253D33C0" w:rsidR="002B6EB6" w:rsidRPr="002B6EB6" w:rsidRDefault="002B6EB6" w:rsidP="002B6EB6">
            <w:pPr>
              <w:jc w:val="center"/>
              <w:cnfStyle w:val="000000000000" w:firstRow="0" w:lastRow="0" w:firstColumn="0" w:lastColumn="0" w:oddVBand="0" w:evenVBand="0" w:oddHBand="0" w:evenHBand="0" w:firstRowFirstColumn="0" w:firstRowLastColumn="0" w:lastRowFirstColumn="0" w:lastRowLastColumn="0"/>
              <w:rPr>
                <w:highlight w:val="cyan"/>
                <w:lang w:val="sr-Cyrl-BA"/>
              </w:rPr>
            </w:pPr>
            <w:r w:rsidRPr="002B6EB6">
              <w:rPr>
                <w:highlight w:val="cyan"/>
              </w:rPr>
              <w:t>667</w:t>
            </w:r>
          </w:p>
        </w:tc>
      </w:tr>
    </w:tbl>
    <w:p w14:paraId="22B8054E" w14:textId="661E13F5" w:rsidR="00F423CA" w:rsidRDefault="00267D38" w:rsidP="00F423CA">
      <w:pPr>
        <w:rPr>
          <w:i/>
          <w:sz w:val="20"/>
          <w:szCs w:val="18"/>
          <w:lang w:val="sr-Cyrl-BA"/>
        </w:rPr>
      </w:pPr>
      <w:r w:rsidRPr="0085443D">
        <w:rPr>
          <w:i/>
          <w:sz w:val="20"/>
          <w:szCs w:val="18"/>
          <w:lang w:val="sr-Cyrl-BA"/>
        </w:rPr>
        <w:t>Izvor</w:t>
      </w:r>
      <w:r w:rsidR="00F423CA" w:rsidRPr="0085443D">
        <w:rPr>
          <w:i/>
          <w:sz w:val="20"/>
          <w:szCs w:val="18"/>
          <w:lang w:val="sr-Cyrl-BA"/>
        </w:rPr>
        <w:t xml:space="preserve">: </w:t>
      </w:r>
      <w:r w:rsidRPr="0085443D">
        <w:rPr>
          <w:i/>
          <w:sz w:val="20"/>
          <w:szCs w:val="18"/>
          <w:lang w:val="sr-Cyrl-BA"/>
        </w:rPr>
        <w:t>Statistički</w:t>
      </w:r>
      <w:r w:rsidR="00F423CA" w:rsidRPr="0085443D">
        <w:rPr>
          <w:i/>
          <w:sz w:val="20"/>
          <w:szCs w:val="18"/>
          <w:lang w:val="sr-Cyrl-BA"/>
        </w:rPr>
        <w:t xml:space="preserve"> </w:t>
      </w:r>
      <w:r w:rsidRPr="0085443D">
        <w:rPr>
          <w:i/>
          <w:sz w:val="20"/>
          <w:szCs w:val="18"/>
          <w:lang w:val="sr-Cyrl-BA"/>
        </w:rPr>
        <w:t>godišnjak</w:t>
      </w:r>
      <w:r w:rsidR="00F423CA" w:rsidRPr="0085443D">
        <w:rPr>
          <w:i/>
          <w:sz w:val="20"/>
          <w:szCs w:val="18"/>
          <w:lang w:val="sr-Cyrl-BA"/>
        </w:rPr>
        <w:t xml:space="preserve"> </w:t>
      </w:r>
      <w:r w:rsidRPr="0085443D">
        <w:rPr>
          <w:i/>
          <w:sz w:val="20"/>
          <w:szCs w:val="18"/>
          <w:lang w:val="sr-Cyrl-BA"/>
        </w:rPr>
        <w:t>RS</w:t>
      </w:r>
      <w:r w:rsidR="00F423CA" w:rsidRPr="0085443D">
        <w:rPr>
          <w:i/>
          <w:sz w:val="20"/>
          <w:szCs w:val="18"/>
          <w:lang w:val="sr-Cyrl-BA"/>
        </w:rPr>
        <w:t xml:space="preserve"> 2016.</w:t>
      </w:r>
    </w:p>
    <w:p w14:paraId="2AF09105" w14:textId="0F633CAF" w:rsidR="002B6EB6" w:rsidRPr="0085443D" w:rsidRDefault="002B6EB6" w:rsidP="00F423CA">
      <w:pPr>
        <w:rPr>
          <w:i/>
          <w:sz w:val="20"/>
          <w:szCs w:val="18"/>
          <w:lang w:val="sr-Cyrl-BA"/>
        </w:rPr>
      </w:pPr>
      <w:r w:rsidRPr="002B6EB6">
        <w:rPr>
          <w:i/>
          <w:sz w:val="20"/>
          <w:szCs w:val="18"/>
          <w:highlight w:val="cyan"/>
          <w:lang w:val="sr-Cyrl-BA"/>
        </w:rPr>
        <w:t>Izvor podataka za 2016. godinu: Informacija o privrednim kretanjima u RS i području Komore BL za period januar-decembar 2016. godine</w:t>
      </w:r>
    </w:p>
    <w:p w14:paraId="08B054A9" w14:textId="77777777" w:rsidR="00F423CA" w:rsidRPr="0085443D" w:rsidRDefault="00951036" w:rsidP="00951036">
      <w:pPr>
        <w:jc w:val="both"/>
      </w:pPr>
      <w:r w:rsidRPr="0085443D">
        <w:t>Prosječna plata je relativno stabilna, ali je niža od prosjeka u RS koji je za neto platu u periodu 2012-2015. iznad 800 KM (izvor: Republički zavod za statistiku RS, Statistički bilten br. 8</w:t>
      </w:r>
      <w:r w:rsidR="006C0B1B" w:rsidRPr="0085443D">
        <w:t>,</w:t>
      </w:r>
      <w:r w:rsidRPr="0085443D">
        <w:t xml:space="preserve"> Plate, za</w:t>
      </w:r>
      <w:r w:rsidR="006C0B1B" w:rsidRPr="0085443D">
        <w:t>poslenost i nezaposlenost, 2016</w:t>
      </w:r>
      <w:r w:rsidRPr="0085443D">
        <w:t>)</w:t>
      </w:r>
    </w:p>
    <w:p w14:paraId="6FAC8A45" w14:textId="77777777" w:rsidR="00951036" w:rsidRPr="0085443D" w:rsidRDefault="00951036" w:rsidP="00F423CA">
      <w:pPr>
        <w:rPr>
          <w:b/>
          <w:sz w:val="18"/>
          <w:szCs w:val="18"/>
        </w:rPr>
      </w:pPr>
    </w:p>
    <w:p w14:paraId="49415FB8" w14:textId="77777777" w:rsidR="000F0C4E" w:rsidRPr="0085443D" w:rsidRDefault="000F0C4E" w:rsidP="000F0C4E">
      <w:pPr>
        <w:rPr>
          <w:rFonts w:eastAsia="Times New Roman" w:cstheme="minorHAnsi"/>
          <w:b/>
          <w:color w:val="000000"/>
        </w:rPr>
      </w:pPr>
      <w:r w:rsidRPr="0085443D">
        <w:rPr>
          <w:rFonts w:eastAsia="Times New Roman" w:cstheme="minorHAnsi"/>
          <w:b/>
          <w:color w:val="000000"/>
        </w:rPr>
        <w:t>Broj preduzeća</w:t>
      </w:r>
    </w:p>
    <w:p w14:paraId="25CF3438" w14:textId="0DCBB178" w:rsidR="007549D8" w:rsidRPr="0085443D" w:rsidRDefault="007549D8" w:rsidP="000F0C4E">
      <w:pPr>
        <w:rPr>
          <w:b/>
        </w:rPr>
      </w:pPr>
      <w:r>
        <w:rPr>
          <w:noProof/>
        </w:rPr>
        <w:drawing>
          <wp:inline distT="0" distB="0" distL="0" distR="0" wp14:anchorId="5A64031D" wp14:editId="7CFC8920">
            <wp:extent cx="3181350" cy="1376363"/>
            <wp:effectExtent l="0" t="0" r="0" b="14605"/>
            <wp:docPr id="17" name="Chart 1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7A6814" w14:textId="05FB3F8F" w:rsidR="000F1D52" w:rsidRPr="0085443D" w:rsidRDefault="000F1D52" w:rsidP="000F0C4E">
      <w:pPr>
        <w:rPr>
          <w:b/>
          <w:sz w:val="20"/>
        </w:rPr>
      </w:pPr>
      <w:r w:rsidRPr="0085443D">
        <w:rPr>
          <w:rFonts w:asciiTheme="minorHAnsi" w:hAnsiTheme="minorHAnsi" w:cstheme="minorHAnsi"/>
          <w:i/>
          <w:sz w:val="20"/>
        </w:rPr>
        <w:lastRenderedPageBreak/>
        <w:t xml:space="preserve">Izvor: </w:t>
      </w:r>
      <w:r w:rsidRPr="0085443D">
        <w:rPr>
          <w:rFonts w:asciiTheme="minorHAnsi" w:hAnsiTheme="minorHAnsi" w:cstheme="minorHAnsi"/>
          <w:i/>
          <w:sz w:val="20"/>
          <w:lang w:val="bs-Cyrl-BA"/>
        </w:rPr>
        <w:t>Tron, prema podacima APIF-a</w:t>
      </w:r>
      <w:r w:rsidR="00CE584D">
        <w:rPr>
          <w:rStyle w:val="FootnoteReference"/>
          <w:rFonts w:asciiTheme="minorHAnsi" w:hAnsiTheme="minorHAnsi" w:cstheme="minorHAnsi"/>
          <w:i/>
          <w:sz w:val="20"/>
          <w:lang w:val="bs-Cyrl-BA"/>
        </w:rPr>
        <w:footnoteReference w:id="4"/>
      </w:r>
    </w:p>
    <w:p w14:paraId="3C12925A" w14:textId="2C3D1463" w:rsidR="007956CC" w:rsidRPr="007549D8" w:rsidRDefault="007956CC" w:rsidP="000F0C4E">
      <w:pPr>
        <w:jc w:val="both"/>
      </w:pPr>
      <w:r w:rsidRPr="0085443D">
        <w:t xml:space="preserve">Broj preduzeća je bilježio blagi pad u periodu 2012-2014. godine, dok je u 2015. došlo do povećanja, što se opet može tumačiti unapređenjem poslovnog okruženja i povoljnim tržišnim kretanjima. </w:t>
      </w:r>
      <w:r w:rsidR="007549D8" w:rsidRPr="007549D8">
        <w:rPr>
          <w:highlight w:val="cyan"/>
        </w:rPr>
        <w:t>U junu 2017. godine Opština Prnjavor je počela provođenje programa certifikacije lokalnih samouprava sa povoljnim poslovnim okruženjem – BFC</w:t>
      </w:r>
      <w:r w:rsidR="007549D8">
        <w:rPr>
          <w:highlight w:val="cyan"/>
        </w:rPr>
        <w:t>, što će rezultirati poboljšanjem uslova za nove investicije</w:t>
      </w:r>
      <w:r w:rsidR="007549D8" w:rsidRPr="007549D8">
        <w:rPr>
          <w:highlight w:val="cyan"/>
        </w:rPr>
        <w:t>.</w:t>
      </w:r>
    </w:p>
    <w:p w14:paraId="2F85494F" w14:textId="77777777" w:rsidR="007956CC" w:rsidRPr="0085443D" w:rsidRDefault="007956CC" w:rsidP="000F0C4E">
      <w:pPr>
        <w:jc w:val="both"/>
        <w:rPr>
          <w:sz w:val="20"/>
        </w:rPr>
      </w:pPr>
    </w:p>
    <w:p w14:paraId="1B7A7227" w14:textId="50D44C1C" w:rsidR="00DC3236" w:rsidRDefault="00DC3236" w:rsidP="000F0C4E">
      <w:pPr>
        <w:rPr>
          <w:lang w:val="en-US"/>
        </w:rPr>
      </w:pPr>
      <w:r>
        <w:rPr>
          <w:noProof/>
        </w:rPr>
        <w:drawing>
          <wp:inline distT="0" distB="0" distL="0" distR="0" wp14:anchorId="3BB410A5" wp14:editId="73638C08">
            <wp:extent cx="5276850" cy="2505075"/>
            <wp:effectExtent l="0" t="0" r="0" b="9525"/>
            <wp:docPr id="18" name="Chart 1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C54356" w14:textId="77777777" w:rsidR="000F1D52" w:rsidRPr="0085443D" w:rsidRDefault="000F1D52" w:rsidP="000F1D52">
      <w:pPr>
        <w:rPr>
          <w:rFonts w:asciiTheme="minorHAnsi" w:hAnsiTheme="minorHAnsi" w:cstheme="minorHAnsi"/>
          <w:i/>
          <w:sz w:val="20"/>
          <w:lang w:val="bs-Cyrl-BA"/>
        </w:rPr>
      </w:pPr>
      <w:r w:rsidRPr="0085443D">
        <w:rPr>
          <w:rFonts w:asciiTheme="minorHAnsi" w:hAnsiTheme="minorHAnsi" w:cstheme="minorHAnsi"/>
          <w:i/>
          <w:sz w:val="20"/>
        </w:rPr>
        <w:t xml:space="preserve">Izvor: </w:t>
      </w:r>
      <w:r w:rsidRPr="0085443D">
        <w:rPr>
          <w:rFonts w:asciiTheme="minorHAnsi" w:hAnsiTheme="minorHAnsi" w:cstheme="minorHAnsi"/>
          <w:i/>
          <w:sz w:val="20"/>
          <w:lang w:val="bs-Cyrl-BA"/>
        </w:rPr>
        <w:t>Tron, prema podacima APIF-a</w:t>
      </w:r>
    </w:p>
    <w:p w14:paraId="75B5076A" w14:textId="23A975D3" w:rsidR="007956CC" w:rsidRPr="0085443D" w:rsidRDefault="007956CC" w:rsidP="007956CC">
      <w:pPr>
        <w:jc w:val="both"/>
      </w:pPr>
      <w:r w:rsidRPr="0085443D">
        <w:t>U strukturi preduzeća najviše je onih koji imaju do devet zaposlenih i njihov broj je u stalnom porastu, ali treba napomenuti da svake godine u posmatranom periodu jedno preduze</w:t>
      </w:r>
      <w:r w:rsidR="006C7ACC">
        <w:t>će ima više od 250 zaposlenih,</w:t>
      </w:r>
      <w:r w:rsidRPr="0085443D">
        <w:t xml:space="preserve"> u 2015. su dva</w:t>
      </w:r>
      <w:r w:rsidR="00C92F96" w:rsidRPr="00C92F96">
        <w:rPr>
          <w:highlight w:val="cyan"/>
        </w:rPr>
        <w:t>, a u 2016. tri</w:t>
      </w:r>
      <w:r w:rsidRPr="0085443D">
        <w:t xml:space="preserve"> preduzeća sa više od 250 zaposlenih, što uz povećanje broja preduzeća sa 10-49 zaposlenih u 2015. ukazuje na razvoj privrednih subjekata na području opštine.</w:t>
      </w:r>
    </w:p>
    <w:p w14:paraId="3CEA7128" w14:textId="5EBBEE48" w:rsidR="007956CC" w:rsidRDefault="007956CC" w:rsidP="000F1D52">
      <w:pPr>
        <w:rPr>
          <w:b/>
        </w:rPr>
      </w:pPr>
    </w:p>
    <w:p w14:paraId="6AB13319" w14:textId="0D361BA7" w:rsidR="005B3E22" w:rsidRPr="0085443D" w:rsidRDefault="005B3E22" w:rsidP="000F1D52">
      <w:pPr>
        <w:rPr>
          <w:b/>
        </w:rPr>
      </w:pPr>
      <w:r>
        <w:rPr>
          <w:noProof/>
        </w:rPr>
        <w:lastRenderedPageBreak/>
        <w:drawing>
          <wp:inline distT="0" distB="0" distL="0" distR="0" wp14:anchorId="6FCF83F9" wp14:editId="0706CB0A">
            <wp:extent cx="5086350" cy="3181350"/>
            <wp:effectExtent l="0" t="0" r="0" b="0"/>
            <wp:docPr id="20" name="Chart 20">
              <a:extLst xmlns:a="http://schemas.openxmlformats.org/drawingml/2006/main">
                <a:ext uri="{FF2B5EF4-FFF2-40B4-BE49-F238E27FC236}">
                  <a16:creationId xmlns:a16="http://schemas.microsoft.com/office/drawing/2014/main" id="{AFFB5374-5EF7-4677-B91E-DE98820A4A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57F59C" w14:textId="77777777" w:rsidR="00A12CBC" w:rsidRPr="0085443D" w:rsidRDefault="002F2A72" w:rsidP="000F0C4E">
      <w:pPr>
        <w:rPr>
          <w:rFonts w:asciiTheme="minorHAnsi" w:hAnsiTheme="minorHAnsi" w:cstheme="minorHAnsi"/>
          <w:i/>
          <w:sz w:val="20"/>
          <w:lang w:val="bs-Cyrl-BA"/>
        </w:rPr>
      </w:pPr>
      <w:r w:rsidRPr="0085443D">
        <w:rPr>
          <w:rFonts w:asciiTheme="minorHAnsi" w:hAnsiTheme="minorHAnsi" w:cstheme="minorHAnsi"/>
          <w:i/>
          <w:sz w:val="20"/>
        </w:rPr>
        <w:t xml:space="preserve">Izvor: </w:t>
      </w:r>
      <w:r w:rsidRPr="0085443D">
        <w:rPr>
          <w:rFonts w:asciiTheme="minorHAnsi" w:hAnsiTheme="minorHAnsi" w:cstheme="minorHAnsi"/>
          <w:i/>
          <w:sz w:val="20"/>
          <w:lang w:val="bs-Cyrl-BA"/>
        </w:rPr>
        <w:t>Tron, prema podacima APIF-a</w:t>
      </w:r>
    </w:p>
    <w:p w14:paraId="27766360" w14:textId="77777777" w:rsidR="00BD1841" w:rsidRPr="0085443D" w:rsidRDefault="00BD1841" w:rsidP="000F0C4E">
      <w:pPr>
        <w:rPr>
          <w:sz w:val="20"/>
        </w:rPr>
      </w:pPr>
    </w:p>
    <w:p w14:paraId="03CF1D8A" w14:textId="148DA26E" w:rsidR="00A12CBC" w:rsidRDefault="00A12CBC" w:rsidP="000F0C4E"/>
    <w:p w14:paraId="6DDC8B29" w14:textId="6188C20B" w:rsidR="0006535E" w:rsidRPr="0085443D" w:rsidRDefault="0006535E" w:rsidP="000F0C4E">
      <w:r>
        <w:rPr>
          <w:noProof/>
        </w:rPr>
        <w:drawing>
          <wp:inline distT="0" distB="0" distL="0" distR="0" wp14:anchorId="568901DA" wp14:editId="4D0002AC">
            <wp:extent cx="5334000" cy="3286125"/>
            <wp:effectExtent l="0" t="0" r="0" b="9525"/>
            <wp:docPr id="21" name="Chart 21">
              <a:extLst xmlns:a="http://schemas.openxmlformats.org/drawingml/2006/main">
                <a:ext uri="{FF2B5EF4-FFF2-40B4-BE49-F238E27FC236}">
                  <a16:creationId xmlns:a16="http://schemas.microsoft.com/office/drawing/2014/main" id="{90BC00D0-BFF7-4D88-9CCA-F6649D190C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ACEB6F" w14:textId="77777777" w:rsidR="00A12CBC" w:rsidRPr="0085443D" w:rsidRDefault="00F11FA6" w:rsidP="000F0C4E">
      <w:pPr>
        <w:rPr>
          <w:sz w:val="20"/>
        </w:rPr>
      </w:pPr>
      <w:r w:rsidRPr="0085443D">
        <w:rPr>
          <w:rFonts w:asciiTheme="minorHAnsi" w:hAnsiTheme="minorHAnsi" w:cstheme="minorHAnsi"/>
          <w:i/>
          <w:sz w:val="20"/>
        </w:rPr>
        <w:t xml:space="preserve">Izvor: </w:t>
      </w:r>
      <w:r w:rsidRPr="0085443D">
        <w:rPr>
          <w:rFonts w:asciiTheme="minorHAnsi" w:hAnsiTheme="minorHAnsi" w:cstheme="minorHAnsi"/>
          <w:i/>
          <w:sz w:val="20"/>
          <w:lang w:val="bs-Cyrl-BA"/>
        </w:rPr>
        <w:t>Tron, prema podacima APIF-a</w:t>
      </w:r>
    </w:p>
    <w:p w14:paraId="73D0D2EB" w14:textId="722EA9D4" w:rsidR="000F0C4E" w:rsidRPr="0085443D" w:rsidRDefault="007956CC" w:rsidP="007956CC">
      <w:pPr>
        <w:jc w:val="both"/>
      </w:pPr>
      <w:r w:rsidRPr="0085443D">
        <w:t>Više od polovine pred</w:t>
      </w:r>
      <w:r w:rsidR="003B56A5">
        <w:t>uzeća u lokalnoj privredi u 2016</w:t>
      </w:r>
      <w:r w:rsidRPr="0085443D">
        <w:t>. djeluje u područjima trgovine i prerađivačke industrije, a u ovim područjima se ostvaruje i većina prihoda u posmatranom periodu.</w:t>
      </w:r>
    </w:p>
    <w:p w14:paraId="2D387A28" w14:textId="4471BCF0" w:rsidR="00F11FA6" w:rsidRDefault="00F11FA6" w:rsidP="000F0C4E"/>
    <w:p w14:paraId="468F9011" w14:textId="26DD2C0B" w:rsidR="00A25339" w:rsidRPr="0085443D" w:rsidRDefault="00A25339" w:rsidP="000F0C4E">
      <w:r>
        <w:rPr>
          <w:noProof/>
        </w:rPr>
        <w:lastRenderedPageBreak/>
        <w:drawing>
          <wp:inline distT="0" distB="0" distL="0" distR="0" wp14:anchorId="0DEF625D" wp14:editId="339D3E63">
            <wp:extent cx="5772150" cy="3333750"/>
            <wp:effectExtent l="0" t="0" r="0" b="0"/>
            <wp:docPr id="22" name="Chart 22">
              <a:extLst xmlns:a="http://schemas.openxmlformats.org/drawingml/2006/main">
                <a:ext uri="{FF2B5EF4-FFF2-40B4-BE49-F238E27FC236}">
                  <a16:creationId xmlns:a16="http://schemas.microsoft.com/office/drawing/2014/main" id="{3D1CCF22-1923-4D10-BB96-0E2982F528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B322E0" w14:textId="77777777" w:rsidR="00ED1618" w:rsidRPr="0085443D" w:rsidRDefault="00ED1618" w:rsidP="00ED1618">
      <w:pPr>
        <w:rPr>
          <w:sz w:val="20"/>
        </w:rPr>
      </w:pPr>
      <w:r w:rsidRPr="0085443D">
        <w:rPr>
          <w:rFonts w:asciiTheme="minorHAnsi" w:hAnsiTheme="minorHAnsi" w:cstheme="minorHAnsi"/>
          <w:i/>
          <w:sz w:val="20"/>
        </w:rPr>
        <w:t xml:space="preserve">Izvor: </w:t>
      </w:r>
      <w:r w:rsidRPr="0085443D">
        <w:rPr>
          <w:rFonts w:asciiTheme="minorHAnsi" w:hAnsiTheme="minorHAnsi" w:cstheme="minorHAnsi"/>
          <w:i/>
          <w:sz w:val="20"/>
          <w:lang w:val="bs-Cyrl-BA"/>
        </w:rPr>
        <w:t>Tron, prema podacima APIF-a</w:t>
      </w:r>
    </w:p>
    <w:p w14:paraId="754DDD1D" w14:textId="77777777" w:rsidR="00F11FA6" w:rsidRPr="0085443D" w:rsidRDefault="007956CC" w:rsidP="00BD1841">
      <w:pPr>
        <w:jc w:val="both"/>
      </w:pPr>
      <w:r w:rsidRPr="0085443D">
        <w:t>U strukturi prerađivačke industrije se izdvajaju sektori metalske, prehrambene, drvoprerađivačke i industrije kože i obuće u kojima se ostvaruje većina prihoda</w:t>
      </w:r>
      <w:r w:rsidR="00762E5F" w:rsidRPr="0085443D">
        <w:t xml:space="preserve">. </w:t>
      </w:r>
    </w:p>
    <w:p w14:paraId="47289766" w14:textId="77777777" w:rsidR="007956CC" w:rsidRPr="0085443D" w:rsidRDefault="007956CC" w:rsidP="000F0C4E"/>
    <w:p w14:paraId="7B44F340" w14:textId="7075981C" w:rsidR="00142063" w:rsidRDefault="00142063" w:rsidP="000F0C4E"/>
    <w:p w14:paraId="07A7C3CC" w14:textId="25980D7C" w:rsidR="009913DA" w:rsidRPr="0085443D" w:rsidRDefault="009913DA" w:rsidP="000F0C4E">
      <w:r>
        <w:rPr>
          <w:noProof/>
        </w:rPr>
        <w:drawing>
          <wp:inline distT="0" distB="0" distL="0" distR="0" wp14:anchorId="554A16A7" wp14:editId="1653DEE2">
            <wp:extent cx="4572000" cy="2743200"/>
            <wp:effectExtent l="0" t="0" r="0" b="0"/>
            <wp:docPr id="23" name="Chart 23">
              <a:extLst xmlns:a="http://schemas.openxmlformats.org/drawingml/2006/main">
                <a:ext uri="{FF2B5EF4-FFF2-40B4-BE49-F238E27FC236}">
                  <a16:creationId xmlns:a16="http://schemas.microsoft.com/office/drawing/2014/main" id="{818D9F13-DE52-4E6B-9EDA-57124D9B12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34DE3B" w14:textId="77777777" w:rsidR="00053974" w:rsidRPr="0085443D" w:rsidRDefault="00053974" w:rsidP="00053974">
      <w:pPr>
        <w:rPr>
          <w:sz w:val="20"/>
        </w:rPr>
      </w:pPr>
      <w:r w:rsidRPr="0085443D">
        <w:rPr>
          <w:rFonts w:asciiTheme="minorHAnsi" w:hAnsiTheme="minorHAnsi" w:cstheme="minorHAnsi"/>
          <w:i/>
          <w:sz w:val="20"/>
        </w:rPr>
        <w:t xml:space="preserve">Izvor: </w:t>
      </w:r>
      <w:r w:rsidRPr="0085443D">
        <w:rPr>
          <w:rFonts w:asciiTheme="minorHAnsi" w:hAnsiTheme="minorHAnsi" w:cstheme="minorHAnsi"/>
          <w:i/>
          <w:sz w:val="20"/>
          <w:lang w:val="bs-Cyrl-BA"/>
        </w:rPr>
        <w:t>Tron, prema podacima APIF-a</w:t>
      </w:r>
    </w:p>
    <w:p w14:paraId="4A3E3A33" w14:textId="77777777" w:rsidR="00F11FA6" w:rsidRPr="0085443D" w:rsidRDefault="00BD1841" w:rsidP="00E60941">
      <w:pPr>
        <w:jc w:val="both"/>
      </w:pPr>
      <w:r w:rsidRPr="0085443D">
        <w:t xml:space="preserve">Prerađivačka industrija i trgovina ostvaruju i najveće rezultate u pogledu izvoza, što se može smatrati pozitivnim, jer se ne izvoze u velikoj mjeri sirovine, već proizvodi određenog stepena finalizacije. </w:t>
      </w:r>
    </w:p>
    <w:p w14:paraId="1071BA5D" w14:textId="435F111B" w:rsidR="00D85274" w:rsidRPr="0085443D" w:rsidRDefault="00D85274" w:rsidP="000F0C4E">
      <w:r>
        <w:rPr>
          <w:noProof/>
        </w:rPr>
        <w:lastRenderedPageBreak/>
        <w:drawing>
          <wp:inline distT="0" distB="0" distL="0" distR="0" wp14:anchorId="31201113" wp14:editId="356F51F2">
            <wp:extent cx="4572000" cy="2743200"/>
            <wp:effectExtent l="0" t="0" r="0" b="0"/>
            <wp:docPr id="24" name="Chart 24">
              <a:extLst xmlns:a="http://schemas.openxmlformats.org/drawingml/2006/main">
                <a:ext uri="{FF2B5EF4-FFF2-40B4-BE49-F238E27FC236}">
                  <a16:creationId xmlns:a16="http://schemas.microsoft.com/office/drawing/2014/main" id="{C81A1D99-98B5-46B2-B6FF-89182B42F9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B74341" w14:textId="77777777" w:rsidR="00DA4983" w:rsidRPr="0085443D" w:rsidRDefault="00DA4983" w:rsidP="00DA4983">
      <w:pPr>
        <w:rPr>
          <w:sz w:val="20"/>
        </w:rPr>
      </w:pPr>
      <w:r w:rsidRPr="0085443D">
        <w:rPr>
          <w:rFonts w:asciiTheme="minorHAnsi" w:hAnsiTheme="minorHAnsi" w:cstheme="minorHAnsi"/>
          <w:i/>
          <w:sz w:val="20"/>
        </w:rPr>
        <w:t xml:space="preserve">Izvor: </w:t>
      </w:r>
      <w:r w:rsidRPr="0085443D">
        <w:rPr>
          <w:rFonts w:asciiTheme="minorHAnsi" w:hAnsiTheme="minorHAnsi" w:cstheme="minorHAnsi"/>
          <w:i/>
          <w:sz w:val="20"/>
          <w:lang w:val="bs-Cyrl-BA"/>
        </w:rPr>
        <w:t>Tron, prema podacima APIF-a</w:t>
      </w:r>
    </w:p>
    <w:p w14:paraId="349C114C" w14:textId="77777777" w:rsidR="00E60941" w:rsidRPr="0085443D" w:rsidRDefault="00E60941" w:rsidP="000F0C4E"/>
    <w:p w14:paraId="62504DAD" w14:textId="7058D98F" w:rsidR="00D51B4F" w:rsidRDefault="00D51B4F" w:rsidP="000F0C4E"/>
    <w:p w14:paraId="7FFA0AA2" w14:textId="5FF63D51" w:rsidR="001E1C9F" w:rsidRPr="0085443D" w:rsidRDefault="001E1C9F" w:rsidP="000F0C4E">
      <w:r>
        <w:rPr>
          <w:noProof/>
        </w:rPr>
        <w:drawing>
          <wp:inline distT="0" distB="0" distL="0" distR="0" wp14:anchorId="049B29A4" wp14:editId="4F992A8E">
            <wp:extent cx="4572000" cy="2743200"/>
            <wp:effectExtent l="0" t="0" r="0" b="0"/>
            <wp:docPr id="25" name="Chart 25">
              <a:extLst xmlns:a="http://schemas.openxmlformats.org/drawingml/2006/main">
                <a:ext uri="{FF2B5EF4-FFF2-40B4-BE49-F238E27FC236}">
                  <a16:creationId xmlns:a16="http://schemas.microsoft.com/office/drawing/2014/main" id="{3F0AB7B4-EF11-4FFE-9969-F38D259E22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C0C11C" w14:textId="77777777" w:rsidR="00D51B4F" w:rsidRPr="0085443D" w:rsidRDefault="00D51B4F" w:rsidP="000F0C4E">
      <w:pPr>
        <w:rPr>
          <w:sz w:val="20"/>
        </w:rPr>
      </w:pPr>
      <w:r w:rsidRPr="0085443D">
        <w:rPr>
          <w:rFonts w:asciiTheme="minorHAnsi" w:hAnsiTheme="minorHAnsi" w:cstheme="minorHAnsi"/>
          <w:i/>
          <w:sz w:val="20"/>
        </w:rPr>
        <w:t xml:space="preserve">Izvor: </w:t>
      </w:r>
      <w:r w:rsidRPr="0085443D">
        <w:rPr>
          <w:rFonts w:asciiTheme="minorHAnsi" w:hAnsiTheme="minorHAnsi" w:cstheme="minorHAnsi"/>
          <w:i/>
          <w:sz w:val="20"/>
          <w:lang w:val="bs-Cyrl-BA"/>
        </w:rPr>
        <w:t>Tron, prema podacima APIF-a</w:t>
      </w:r>
    </w:p>
    <w:p w14:paraId="26BD3227" w14:textId="34841AE8" w:rsidR="00E60941" w:rsidRPr="0085443D" w:rsidRDefault="00E60941" w:rsidP="00E60941">
      <w:pPr>
        <w:jc w:val="both"/>
      </w:pPr>
      <w:r w:rsidRPr="0085443D">
        <w:t xml:space="preserve">U prerađivačkoj industriji se ponovo izdvajaju sektori metalske, prehrambene, drvoprerađivačke i industrije kože i obuće, pri čemu izvoz metalske industrije raste osim 2015. godine kad je zabilježen pad, relativno stabilan izvoz kože i obuće, </w:t>
      </w:r>
      <w:r w:rsidR="00425D69" w:rsidRPr="00425D69">
        <w:rPr>
          <w:highlight w:val="cyan"/>
        </w:rPr>
        <w:t>kao i prehrambene industrije, dok</w:t>
      </w:r>
      <w:r w:rsidRPr="00425D69">
        <w:rPr>
          <w:highlight w:val="cyan"/>
        </w:rPr>
        <w:t xml:space="preserve"> drvoprerađivačka </w:t>
      </w:r>
      <w:r w:rsidR="00425D69" w:rsidRPr="00425D69">
        <w:rPr>
          <w:highlight w:val="cyan"/>
        </w:rPr>
        <w:t xml:space="preserve">bilježi rast izvoza </w:t>
      </w:r>
      <w:r w:rsidRPr="00425D69">
        <w:rPr>
          <w:highlight w:val="cyan"/>
        </w:rPr>
        <w:t>u 2015.</w:t>
      </w:r>
      <w:r w:rsidR="00425D69" w:rsidRPr="00425D69">
        <w:rPr>
          <w:highlight w:val="cyan"/>
        </w:rPr>
        <w:t xml:space="preserve"> i 2016.</w:t>
      </w:r>
      <w:r w:rsidRPr="00425D69">
        <w:rPr>
          <w:highlight w:val="cyan"/>
        </w:rPr>
        <w:t xml:space="preserve"> godini</w:t>
      </w:r>
      <w:r w:rsidR="00425D69" w:rsidRPr="00425D69">
        <w:rPr>
          <w:highlight w:val="cyan"/>
        </w:rPr>
        <w:t xml:space="preserve"> i u tim godinama sektor drvoprerade ima najveći izvoz od četiri vodeća sektora</w:t>
      </w:r>
      <w:r w:rsidRPr="0085443D">
        <w:t xml:space="preserve">. Može se uočiti izvozna orijentacija kod sva četiri vodeća sektora lokalne privrede. </w:t>
      </w:r>
    </w:p>
    <w:p w14:paraId="4339D9FC" w14:textId="77777777" w:rsidR="00D51B4F" w:rsidRPr="0085443D" w:rsidRDefault="00D51B4F" w:rsidP="000F0C4E"/>
    <w:p w14:paraId="57822F13" w14:textId="6920DEB5" w:rsidR="009528F3" w:rsidRPr="0085443D" w:rsidRDefault="009528F3" w:rsidP="000F0C4E">
      <w:r>
        <w:rPr>
          <w:noProof/>
        </w:rPr>
        <w:lastRenderedPageBreak/>
        <w:drawing>
          <wp:inline distT="0" distB="0" distL="0" distR="0" wp14:anchorId="2D0CAD4E" wp14:editId="5A616439">
            <wp:extent cx="4572000" cy="2743200"/>
            <wp:effectExtent l="0" t="0" r="0" b="0"/>
            <wp:docPr id="26" name="Chart 26">
              <a:extLst xmlns:a="http://schemas.openxmlformats.org/drawingml/2006/main">
                <a:ext uri="{FF2B5EF4-FFF2-40B4-BE49-F238E27FC236}">
                  <a16:creationId xmlns:a16="http://schemas.microsoft.com/office/drawing/2014/main" id="{CFA82428-45A1-47BA-8843-930C1DEC9E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C09965" w14:textId="77777777" w:rsidR="005D7B22" w:rsidRPr="0085443D" w:rsidRDefault="005D7B22" w:rsidP="005D7B22">
      <w:pPr>
        <w:rPr>
          <w:rFonts w:asciiTheme="minorHAnsi" w:hAnsiTheme="minorHAnsi" w:cstheme="minorHAnsi"/>
          <w:i/>
          <w:sz w:val="20"/>
          <w:lang w:val="bs-Cyrl-BA"/>
        </w:rPr>
      </w:pPr>
      <w:r w:rsidRPr="0085443D">
        <w:rPr>
          <w:rFonts w:asciiTheme="minorHAnsi" w:hAnsiTheme="minorHAnsi" w:cstheme="minorHAnsi"/>
          <w:i/>
          <w:sz w:val="20"/>
        </w:rPr>
        <w:t xml:space="preserve">Izvor: </w:t>
      </w:r>
      <w:r w:rsidRPr="0085443D">
        <w:rPr>
          <w:rFonts w:asciiTheme="minorHAnsi" w:hAnsiTheme="minorHAnsi" w:cstheme="minorHAnsi"/>
          <w:i/>
          <w:sz w:val="20"/>
          <w:lang w:val="bs-Cyrl-BA"/>
        </w:rPr>
        <w:t>Tron, prema podacima APIF-a</w:t>
      </w:r>
    </w:p>
    <w:p w14:paraId="6EC9A229" w14:textId="77777777" w:rsidR="00E60941" w:rsidRPr="0085443D" w:rsidRDefault="00E60941" w:rsidP="00E60941">
      <w:pPr>
        <w:jc w:val="both"/>
      </w:pPr>
      <w:r w:rsidRPr="0085443D">
        <w:t>Najveći broj radnika zapošljava prerađivačka industrija i osim pada u 2014. godini u kojoj je opština bila pogođena poplavama, broj zaposlenih stalno raste, kao i u trgovini koja je druga po broju zaposlenih.</w:t>
      </w:r>
    </w:p>
    <w:p w14:paraId="485F035E" w14:textId="77777777" w:rsidR="00E60941" w:rsidRPr="0085443D" w:rsidRDefault="00E60941" w:rsidP="005D7B22"/>
    <w:p w14:paraId="4B8D604B" w14:textId="6D2FBF9C" w:rsidR="00233082" w:rsidRPr="0085443D" w:rsidRDefault="00233082" w:rsidP="000F0C4E">
      <w:r>
        <w:rPr>
          <w:noProof/>
        </w:rPr>
        <w:drawing>
          <wp:inline distT="0" distB="0" distL="0" distR="0" wp14:anchorId="5BD6B509" wp14:editId="56EC13BA">
            <wp:extent cx="5534026" cy="3152775"/>
            <wp:effectExtent l="0" t="0" r="9525" b="9525"/>
            <wp:docPr id="27" name="Chart 27">
              <a:extLst xmlns:a="http://schemas.openxmlformats.org/drawingml/2006/main">
                <a:ext uri="{FF2B5EF4-FFF2-40B4-BE49-F238E27FC236}">
                  <a16:creationId xmlns:a16="http://schemas.microsoft.com/office/drawing/2014/main" id="{AB7DE115-B25F-4E0B-8D6A-08F52E7567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14E046" w14:textId="77777777" w:rsidR="0060618F" w:rsidRPr="0085443D" w:rsidRDefault="0060618F" w:rsidP="0060618F">
      <w:pPr>
        <w:rPr>
          <w:rFonts w:asciiTheme="minorHAnsi" w:hAnsiTheme="minorHAnsi" w:cstheme="minorHAnsi"/>
          <w:i/>
          <w:sz w:val="20"/>
          <w:lang w:val="bs-Cyrl-BA"/>
        </w:rPr>
      </w:pPr>
      <w:r w:rsidRPr="0085443D">
        <w:rPr>
          <w:rFonts w:asciiTheme="minorHAnsi" w:hAnsiTheme="minorHAnsi" w:cstheme="minorHAnsi"/>
          <w:i/>
          <w:sz w:val="20"/>
        </w:rPr>
        <w:t xml:space="preserve">Izvor: </w:t>
      </w:r>
      <w:r w:rsidRPr="0085443D">
        <w:rPr>
          <w:rFonts w:asciiTheme="minorHAnsi" w:hAnsiTheme="minorHAnsi" w:cstheme="minorHAnsi"/>
          <w:i/>
          <w:sz w:val="20"/>
          <w:lang w:val="bs-Cyrl-BA"/>
        </w:rPr>
        <w:t>Tron, prema podacima APIF-a</w:t>
      </w:r>
    </w:p>
    <w:p w14:paraId="34C3CB22" w14:textId="18858A8F" w:rsidR="000B0F53" w:rsidRPr="0085443D" w:rsidRDefault="000B0F53" w:rsidP="000F0C4E">
      <w:r>
        <w:rPr>
          <w:noProof/>
        </w:rPr>
        <w:lastRenderedPageBreak/>
        <w:drawing>
          <wp:inline distT="0" distB="0" distL="0" distR="0" wp14:anchorId="56215029" wp14:editId="570D2848">
            <wp:extent cx="4572000" cy="2743200"/>
            <wp:effectExtent l="0" t="0" r="0" b="0"/>
            <wp:docPr id="28" name="Chart 28">
              <a:extLst xmlns:a="http://schemas.openxmlformats.org/drawingml/2006/main">
                <a:ext uri="{FF2B5EF4-FFF2-40B4-BE49-F238E27FC236}">
                  <a16:creationId xmlns:a16="http://schemas.microsoft.com/office/drawing/2014/main" id="{D2D0FF38-A026-4896-926F-AFA3FFE271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F5A2C7" w14:textId="77777777" w:rsidR="00C7213D" w:rsidRPr="0085443D" w:rsidRDefault="00C7213D" w:rsidP="00C7213D">
      <w:pPr>
        <w:rPr>
          <w:sz w:val="20"/>
        </w:rPr>
      </w:pPr>
      <w:r w:rsidRPr="0085443D">
        <w:rPr>
          <w:rFonts w:asciiTheme="minorHAnsi" w:hAnsiTheme="minorHAnsi" w:cstheme="minorHAnsi"/>
          <w:i/>
          <w:sz w:val="20"/>
        </w:rPr>
        <w:t xml:space="preserve">Izvor: </w:t>
      </w:r>
      <w:r w:rsidRPr="0085443D">
        <w:rPr>
          <w:rFonts w:asciiTheme="minorHAnsi" w:hAnsiTheme="minorHAnsi" w:cstheme="minorHAnsi"/>
          <w:i/>
          <w:sz w:val="20"/>
          <w:lang w:val="bs-Cyrl-BA"/>
        </w:rPr>
        <w:t>Tron, prema podacima APIF-a</w:t>
      </w:r>
    </w:p>
    <w:p w14:paraId="7D728947" w14:textId="3763F7B5" w:rsidR="008872BC" w:rsidRPr="0085443D" w:rsidRDefault="008872BC" w:rsidP="008872BC">
      <w:pPr>
        <w:jc w:val="both"/>
      </w:pPr>
      <w:r w:rsidRPr="0085443D">
        <w:t>Najveći broj zaposlenih ima metalska industrija, ali je u 2015. zabilježen pad, dok prehrambena bilježi rast broja zaposlenih</w:t>
      </w:r>
      <w:r w:rsidR="00132E3F">
        <w:t xml:space="preserve"> </w:t>
      </w:r>
      <w:r w:rsidR="00132E3F" w:rsidRPr="00132E3F">
        <w:rPr>
          <w:highlight w:val="cyan"/>
        </w:rPr>
        <w:t>osim u 2016. godini</w:t>
      </w:r>
      <w:r w:rsidR="00132E3F">
        <w:t>.</w:t>
      </w:r>
      <w:r w:rsidRPr="0085443D">
        <w:t xml:space="preserve"> </w:t>
      </w:r>
      <w:r w:rsidR="00132E3F">
        <w:t>B</w:t>
      </w:r>
      <w:r w:rsidRPr="0085443D">
        <w:t xml:space="preserve">roj zaposlenih u sektoru kože i obuće je relativno stabilan, a drvoprerada je u </w:t>
      </w:r>
      <w:r w:rsidRPr="00132E3F">
        <w:rPr>
          <w:highlight w:val="cyan"/>
        </w:rPr>
        <w:t xml:space="preserve">2015. </w:t>
      </w:r>
      <w:r w:rsidR="00132E3F" w:rsidRPr="00132E3F">
        <w:rPr>
          <w:highlight w:val="cyan"/>
        </w:rPr>
        <w:t>i u 2016.</w:t>
      </w:r>
      <w:r w:rsidR="00132E3F">
        <w:t xml:space="preserve"> </w:t>
      </w:r>
      <w:r w:rsidRPr="0085443D">
        <w:t xml:space="preserve">godini imala najviše zaposlenih. </w:t>
      </w:r>
    </w:p>
    <w:p w14:paraId="2E095298" w14:textId="77777777" w:rsidR="002A1B88" w:rsidRPr="0085443D" w:rsidRDefault="002A1B88" w:rsidP="008872BC">
      <w:pPr>
        <w:jc w:val="both"/>
      </w:pPr>
    </w:p>
    <w:p w14:paraId="36B256FA" w14:textId="77777777" w:rsidR="002A1B88" w:rsidRPr="0085443D" w:rsidRDefault="002A1B88" w:rsidP="008872BC">
      <w:pPr>
        <w:jc w:val="both"/>
      </w:pPr>
      <w:r w:rsidRPr="0085443D">
        <w:t xml:space="preserve">Ukupno posmatrano, može se reći da je privreda na području opštine relativno razvijena, da su trendovi pozitivni, a izvozna orijentacija izražena. S druge strane, izvozna orijentacija zahtijeva stalno unapređenje konkurentnosti, dok su lokalnoj zajednici potrebna nova radna mjesta, što treba biti u fokusu u narednom periodu. </w:t>
      </w:r>
    </w:p>
    <w:p w14:paraId="72BF92C7" w14:textId="3C40E7BD" w:rsidR="007E38B8" w:rsidRPr="0085443D" w:rsidRDefault="008872BC" w:rsidP="007E38B8">
      <w:pPr>
        <w:spacing w:after="100"/>
        <w:jc w:val="both"/>
      </w:pPr>
      <w:r w:rsidRPr="0085443D">
        <w:t>Može se uočiti da su na području opštine</w:t>
      </w:r>
      <w:r w:rsidR="007E38B8" w:rsidRPr="0085443D">
        <w:t xml:space="preserve"> još uvijek nedovoljno iskorišteni turistički potencijali, kao što su potencijali za vjerski i ruralni t</w:t>
      </w:r>
      <w:r w:rsidR="002B6D25">
        <w:t>urizam, ergela Vučijak i drugi.</w:t>
      </w:r>
    </w:p>
    <w:p w14:paraId="3A6ED3F4" w14:textId="77777777" w:rsidR="007E38B8" w:rsidRPr="0085443D" w:rsidRDefault="007E38B8" w:rsidP="003B497A">
      <w:pPr>
        <w:pStyle w:val="Default"/>
        <w:jc w:val="both"/>
        <w:rPr>
          <w:rFonts w:ascii="Arial" w:hAnsi="Arial" w:cs="Arial"/>
          <w:sz w:val="18"/>
          <w:szCs w:val="18"/>
          <w:lang w:val="sr-Latn-BA"/>
        </w:rPr>
      </w:pPr>
    </w:p>
    <w:p w14:paraId="48C614A0" w14:textId="77777777" w:rsidR="003B497A" w:rsidRPr="0085443D" w:rsidRDefault="003B497A" w:rsidP="003B497A">
      <w:pPr>
        <w:spacing w:after="80"/>
        <w:rPr>
          <w:b/>
          <w:i/>
        </w:rPr>
      </w:pPr>
      <w:r w:rsidRPr="0085443D">
        <w:rPr>
          <w:b/>
          <w:i/>
        </w:rPr>
        <w:t>Poslovne zone</w:t>
      </w:r>
    </w:p>
    <w:p w14:paraId="721227EC" w14:textId="79E1540D" w:rsidR="007728C7" w:rsidRPr="0085443D" w:rsidRDefault="007B3DED" w:rsidP="003765EA">
      <w:pPr>
        <w:spacing w:after="100"/>
        <w:jc w:val="both"/>
        <w:rPr>
          <w:lang w:val="en-US"/>
        </w:rPr>
      </w:pPr>
      <w:r w:rsidRPr="0085443D">
        <w:rPr>
          <w:lang w:val="sr-Cyrl-BA"/>
        </w:rPr>
        <w:t>Poslovno</w:t>
      </w:r>
      <w:r w:rsidR="007728C7" w:rsidRPr="0085443D">
        <w:rPr>
          <w:lang w:val="sr-Cyrl-BA"/>
        </w:rPr>
        <w:t>-</w:t>
      </w:r>
      <w:r w:rsidRPr="0085443D">
        <w:rPr>
          <w:lang w:val="sr-Cyrl-BA"/>
        </w:rPr>
        <w:t>turistička</w:t>
      </w:r>
      <w:r w:rsidR="007728C7" w:rsidRPr="0085443D">
        <w:rPr>
          <w:lang w:val="sr-Cyrl-BA"/>
        </w:rPr>
        <w:t xml:space="preserve"> </w:t>
      </w:r>
      <w:r w:rsidRPr="0085443D">
        <w:rPr>
          <w:lang w:val="sr-Cyrl-BA"/>
        </w:rPr>
        <w:t>zona</w:t>
      </w:r>
      <w:r w:rsidR="007728C7" w:rsidRPr="0085443D">
        <w:rPr>
          <w:lang w:val="sr-Cyrl-BA"/>
        </w:rPr>
        <w:t xml:space="preserve"> </w:t>
      </w:r>
      <w:r w:rsidRPr="0085443D">
        <w:rPr>
          <w:lang w:val="sr-Cyrl-BA"/>
        </w:rPr>
        <w:t>Vijaka</w:t>
      </w:r>
      <w:r w:rsidR="007728C7" w:rsidRPr="0085443D">
        <w:rPr>
          <w:lang w:val="sr-Cyrl-BA"/>
        </w:rPr>
        <w:t xml:space="preserve"> </w:t>
      </w:r>
      <w:r w:rsidRPr="0085443D">
        <w:rPr>
          <w:lang w:val="sr-Cyrl-BA"/>
        </w:rPr>
        <w:t>površine</w:t>
      </w:r>
      <w:r w:rsidR="007728C7" w:rsidRPr="0085443D">
        <w:rPr>
          <w:lang w:val="sr-Cyrl-BA"/>
        </w:rPr>
        <w:t xml:space="preserve"> 322</w:t>
      </w:r>
      <w:r w:rsidR="00FC0669" w:rsidRPr="0085443D">
        <w:rPr>
          <w:lang w:val="sr-Cyrl-BA"/>
        </w:rPr>
        <w:t>,14</w:t>
      </w:r>
      <w:r w:rsidR="007728C7" w:rsidRPr="0085443D">
        <w:rPr>
          <w:lang w:val="sr-Cyrl-BA"/>
        </w:rPr>
        <w:t xml:space="preserve"> ha</w:t>
      </w:r>
      <w:r w:rsidR="001319E9" w:rsidRPr="0085443D">
        <w:rPr>
          <w:lang w:val="sr-Cyrl-BA"/>
        </w:rPr>
        <w:t xml:space="preserve"> </w:t>
      </w:r>
      <w:r w:rsidR="007728C7" w:rsidRPr="0085443D">
        <w:rPr>
          <w:lang w:val="sr-Cyrl-BA"/>
        </w:rPr>
        <w:t>(</w:t>
      </w:r>
      <w:r w:rsidRPr="0085443D">
        <w:rPr>
          <w:lang w:val="sr-Cyrl-BA"/>
        </w:rPr>
        <w:t>površina</w:t>
      </w:r>
      <w:r w:rsidR="007728C7" w:rsidRPr="0085443D">
        <w:rPr>
          <w:lang w:val="sr-Cyrl-BA"/>
        </w:rPr>
        <w:t xml:space="preserve"> </w:t>
      </w:r>
      <w:r w:rsidRPr="0085443D">
        <w:rPr>
          <w:lang w:val="sr-Cyrl-BA"/>
        </w:rPr>
        <w:t>poslovne</w:t>
      </w:r>
      <w:r w:rsidR="007728C7" w:rsidRPr="0085443D">
        <w:rPr>
          <w:lang w:val="sr-Cyrl-BA"/>
        </w:rPr>
        <w:t xml:space="preserve"> </w:t>
      </w:r>
      <w:r w:rsidRPr="0085443D">
        <w:rPr>
          <w:lang w:val="sr-Cyrl-BA"/>
        </w:rPr>
        <w:t>zone</w:t>
      </w:r>
      <w:r w:rsidR="007728C7" w:rsidRPr="0085443D">
        <w:rPr>
          <w:lang w:val="sr-Cyrl-BA"/>
        </w:rPr>
        <w:t xml:space="preserve"> </w:t>
      </w:r>
      <w:r w:rsidRPr="0085443D">
        <w:rPr>
          <w:lang w:val="sr-Cyrl-BA"/>
        </w:rPr>
        <w:t>je</w:t>
      </w:r>
      <w:r w:rsidR="007728C7" w:rsidRPr="0085443D">
        <w:rPr>
          <w:lang w:val="sr-Cyrl-BA"/>
        </w:rPr>
        <w:t xml:space="preserve"> </w:t>
      </w:r>
      <w:r w:rsidRPr="0085443D">
        <w:rPr>
          <w:lang w:val="sr-Cyrl-BA"/>
        </w:rPr>
        <w:t>oko</w:t>
      </w:r>
      <w:r w:rsidR="007728C7" w:rsidRPr="0085443D">
        <w:rPr>
          <w:lang w:val="sr-Cyrl-BA"/>
        </w:rPr>
        <w:t xml:space="preserve"> 120 ha) </w:t>
      </w:r>
      <w:r w:rsidRPr="0085443D">
        <w:rPr>
          <w:lang w:val="sr-Cyrl-BA"/>
        </w:rPr>
        <w:t>se</w:t>
      </w:r>
      <w:r w:rsidR="007728C7" w:rsidRPr="0085443D">
        <w:rPr>
          <w:lang w:val="sr-Cyrl-BA"/>
        </w:rPr>
        <w:t xml:space="preserve"> </w:t>
      </w:r>
      <w:r w:rsidRPr="0085443D">
        <w:rPr>
          <w:lang w:val="sr-Cyrl-BA"/>
        </w:rPr>
        <w:t>nalazi</w:t>
      </w:r>
      <w:r w:rsidR="007728C7" w:rsidRPr="0085443D">
        <w:rPr>
          <w:lang w:val="sr-Cyrl-BA"/>
        </w:rPr>
        <w:t xml:space="preserve"> </w:t>
      </w:r>
      <w:r w:rsidRPr="0085443D">
        <w:rPr>
          <w:lang w:val="sr-Cyrl-BA"/>
        </w:rPr>
        <w:t>u</w:t>
      </w:r>
      <w:r w:rsidR="007728C7" w:rsidRPr="0085443D">
        <w:rPr>
          <w:lang w:val="sr-Cyrl-BA"/>
        </w:rPr>
        <w:t xml:space="preserve"> </w:t>
      </w:r>
      <w:r w:rsidRPr="0085443D">
        <w:rPr>
          <w:lang w:val="sr-Cyrl-BA"/>
        </w:rPr>
        <w:t>blizini</w:t>
      </w:r>
      <w:r w:rsidR="007728C7" w:rsidRPr="0085443D">
        <w:rPr>
          <w:lang w:val="sr-Cyrl-BA"/>
        </w:rPr>
        <w:t xml:space="preserve"> </w:t>
      </w:r>
      <w:r w:rsidRPr="0085443D">
        <w:rPr>
          <w:lang w:val="sr-Cyrl-BA"/>
        </w:rPr>
        <w:t>magistralnog</w:t>
      </w:r>
      <w:r w:rsidR="007728C7" w:rsidRPr="0085443D">
        <w:rPr>
          <w:lang w:val="sr-Cyrl-BA"/>
        </w:rPr>
        <w:t xml:space="preserve"> </w:t>
      </w:r>
      <w:r w:rsidRPr="0085443D">
        <w:rPr>
          <w:lang w:val="sr-Cyrl-BA"/>
        </w:rPr>
        <w:t>puta</w:t>
      </w:r>
      <w:r w:rsidR="007728C7" w:rsidRPr="0085443D">
        <w:rPr>
          <w:lang w:val="sr-Cyrl-BA"/>
        </w:rPr>
        <w:t xml:space="preserve"> </w:t>
      </w:r>
      <w:r w:rsidRPr="0085443D">
        <w:rPr>
          <w:lang w:val="sr-Cyrl-BA"/>
        </w:rPr>
        <w:t>Banjaluka</w:t>
      </w:r>
      <w:r w:rsidR="007728C7" w:rsidRPr="0085443D">
        <w:rPr>
          <w:lang w:val="sr-Cyrl-BA"/>
        </w:rPr>
        <w:t xml:space="preserve"> - </w:t>
      </w:r>
      <w:r w:rsidRPr="0085443D">
        <w:rPr>
          <w:lang w:val="sr-Cyrl-BA"/>
        </w:rPr>
        <w:t>Prnjavor</w:t>
      </w:r>
      <w:r w:rsidR="007728C7" w:rsidRPr="0085443D">
        <w:rPr>
          <w:lang w:val="sr-Cyrl-BA"/>
        </w:rPr>
        <w:t xml:space="preserve"> - </w:t>
      </w:r>
      <w:r w:rsidRPr="0085443D">
        <w:rPr>
          <w:lang w:val="sr-Cyrl-BA"/>
        </w:rPr>
        <w:t>Derventa</w:t>
      </w:r>
      <w:r w:rsidR="007728C7" w:rsidRPr="0085443D">
        <w:rPr>
          <w:lang w:val="sr-Cyrl-BA"/>
        </w:rPr>
        <w:t xml:space="preserve"> (</w:t>
      </w:r>
      <w:r w:rsidRPr="0085443D">
        <w:rPr>
          <w:lang w:val="sr-Cyrl-BA"/>
        </w:rPr>
        <w:t>M</w:t>
      </w:r>
      <w:r w:rsidR="007728C7" w:rsidRPr="0085443D">
        <w:rPr>
          <w:lang w:val="sr-Cyrl-BA"/>
        </w:rPr>
        <w:t>-16</w:t>
      </w:r>
      <w:r w:rsidR="00ED0423" w:rsidRPr="0085443D">
        <w:t>.1</w:t>
      </w:r>
      <w:r w:rsidR="007728C7" w:rsidRPr="0085443D">
        <w:rPr>
          <w:lang w:val="sr-Cyrl-BA"/>
        </w:rPr>
        <w:t xml:space="preserve">) </w:t>
      </w:r>
      <w:r w:rsidRPr="0085443D">
        <w:rPr>
          <w:lang w:val="sr-Cyrl-BA"/>
        </w:rPr>
        <w:t>i</w:t>
      </w:r>
      <w:r w:rsidR="007728C7" w:rsidRPr="0085443D">
        <w:rPr>
          <w:lang w:val="sr-Cyrl-BA"/>
        </w:rPr>
        <w:t xml:space="preserve"> </w:t>
      </w:r>
      <w:r w:rsidRPr="0085443D">
        <w:rPr>
          <w:lang w:val="sr-Cyrl-BA"/>
        </w:rPr>
        <w:t>raskr</w:t>
      </w:r>
      <w:r w:rsidR="005D7E2B" w:rsidRPr="0085443D">
        <w:rPr>
          <w:lang w:val="sr-Cyrl-BA"/>
        </w:rPr>
        <w:t>s</w:t>
      </w:r>
      <w:r w:rsidRPr="0085443D">
        <w:rPr>
          <w:lang w:val="sr-Cyrl-BA"/>
        </w:rPr>
        <w:t>nice</w:t>
      </w:r>
      <w:r w:rsidR="007728C7" w:rsidRPr="0085443D">
        <w:rPr>
          <w:lang w:val="sr-Cyrl-BA"/>
        </w:rPr>
        <w:t xml:space="preserve"> </w:t>
      </w:r>
      <w:r w:rsidRPr="0085443D">
        <w:rPr>
          <w:lang w:val="sr-Cyrl-BA"/>
        </w:rPr>
        <w:t>magistralnog</w:t>
      </w:r>
      <w:r w:rsidR="007728C7" w:rsidRPr="0085443D">
        <w:rPr>
          <w:lang w:val="sr-Cyrl-BA"/>
        </w:rPr>
        <w:t xml:space="preserve"> </w:t>
      </w:r>
      <w:r w:rsidRPr="0085443D">
        <w:rPr>
          <w:lang w:val="sr-Cyrl-BA"/>
        </w:rPr>
        <w:t>puta</w:t>
      </w:r>
      <w:r w:rsidR="007728C7" w:rsidRPr="0085443D">
        <w:rPr>
          <w:lang w:val="sr-Cyrl-BA"/>
        </w:rPr>
        <w:t xml:space="preserve"> </w:t>
      </w:r>
      <w:r w:rsidRPr="0085443D">
        <w:rPr>
          <w:lang w:val="sr-Cyrl-BA"/>
        </w:rPr>
        <w:t>M</w:t>
      </w:r>
      <w:r w:rsidR="007728C7" w:rsidRPr="0085443D">
        <w:rPr>
          <w:lang w:val="sr-Cyrl-BA"/>
        </w:rPr>
        <w:t>-16</w:t>
      </w:r>
      <w:r w:rsidR="00ED0423" w:rsidRPr="0085443D">
        <w:t>.1</w:t>
      </w:r>
      <w:r w:rsidR="007728C7" w:rsidRPr="0085443D">
        <w:rPr>
          <w:lang w:val="sr-Cyrl-BA"/>
        </w:rPr>
        <w:t xml:space="preserve"> </w:t>
      </w:r>
      <w:r w:rsidRPr="0085443D">
        <w:rPr>
          <w:lang w:val="sr-Cyrl-BA"/>
        </w:rPr>
        <w:t>sa</w:t>
      </w:r>
      <w:r w:rsidR="007728C7" w:rsidRPr="0085443D">
        <w:rPr>
          <w:lang w:val="sr-Cyrl-BA"/>
        </w:rPr>
        <w:t xml:space="preserve"> </w:t>
      </w:r>
      <w:r w:rsidRPr="0085443D">
        <w:rPr>
          <w:lang w:val="sr-Cyrl-BA"/>
        </w:rPr>
        <w:t>regionalnim</w:t>
      </w:r>
      <w:r w:rsidR="007728C7" w:rsidRPr="0085443D">
        <w:rPr>
          <w:lang w:val="sr-Cyrl-BA"/>
        </w:rPr>
        <w:t xml:space="preserve"> </w:t>
      </w:r>
      <w:r w:rsidRPr="0085443D">
        <w:rPr>
          <w:lang w:val="sr-Cyrl-BA"/>
        </w:rPr>
        <w:t>putem</w:t>
      </w:r>
      <w:r w:rsidR="007728C7" w:rsidRPr="0085443D">
        <w:rPr>
          <w:lang w:val="sr-Cyrl-BA"/>
        </w:rPr>
        <w:t xml:space="preserve"> </w:t>
      </w:r>
      <w:r w:rsidRPr="0085443D">
        <w:rPr>
          <w:lang w:val="sr-Cyrl-BA"/>
        </w:rPr>
        <w:t>R</w:t>
      </w:r>
      <w:r w:rsidR="00ED0423" w:rsidRPr="0085443D">
        <w:rPr>
          <w:lang w:val="sr-Cyrl-BA"/>
        </w:rPr>
        <w:t xml:space="preserve">-474 </w:t>
      </w:r>
      <w:r w:rsidRPr="0085443D">
        <w:rPr>
          <w:lang w:val="sr-Cyrl-BA"/>
        </w:rPr>
        <w:t>Čelinac</w:t>
      </w:r>
      <w:r w:rsidR="007728C7" w:rsidRPr="0085443D">
        <w:rPr>
          <w:lang w:val="sr-Cyrl-BA"/>
        </w:rPr>
        <w:t xml:space="preserve"> – </w:t>
      </w:r>
      <w:r w:rsidRPr="0085443D">
        <w:rPr>
          <w:lang w:val="sr-Cyrl-BA"/>
        </w:rPr>
        <w:t>Prnjavor</w:t>
      </w:r>
      <w:r w:rsidR="007728C7" w:rsidRPr="0085443D">
        <w:rPr>
          <w:lang w:val="sr-Cyrl-BA"/>
        </w:rPr>
        <w:t xml:space="preserve"> </w:t>
      </w:r>
      <w:r w:rsidR="00ED0423" w:rsidRPr="0085443D">
        <w:rPr>
          <w:lang w:val="sr-Cyrl-BA"/>
        </w:rPr>
        <w:t>–</w:t>
      </w:r>
      <w:r w:rsidR="007728C7" w:rsidRPr="0085443D">
        <w:rPr>
          <w:lang w:val="sr-Cyrl-BA"/>
        </w:rPr>
        <w:t xml:space="preserve"> </w:t>
      </w:r>
      <w:r w:rsidRPr="0085443D">
        <w:rPr>
          <w:lang w:val="sr-Cyrl-BA"/>
        </w:rPr>
        <w:t>Srbac</w:t>
      </w:r>
      <w:r w:rsidR="00ED0423" w:rsidRPr="0085443D">
        <w:t xml:space="preserve"> i R-476</w:t>
      </w:r>
      <w:r w:rsidR="007728C7" w:rsidRPr="0085443D">
        <w:rPr>
          <w:lang w:val="sr-Cyrl-BA"/>
        </w:rPr>
        <w:t xml:space="preserve"> </w:t>
      </w:r>
      <w:r w:rsidRPr="0085443D">
        <w:rPr>
          <w:lang w:val="sr-Cyrl-BA"/>
        </w:rPr>
        <w:t>Srbac</w:t>
      </w:r>
      <w:r w:rsidR="007728C7" w:rsidRPr="0085443D">
        <w:rPr>
          <w:lang w:val="sr-Cyrl-BA"/>
        </w:rPr>
        <w:t xml:space="preserve"> – </w:t>
      </w:r>
      <w:r w:rsidRPr="0085443D">
        <w:rPr>
          <w:lang w:val="sr-Cyrl-BA"/>
        </w:rPr>
        <w:t>Prnjavor</w:t>
      </w:r>
      <w:r w:rsidR="007728C7" w:rsidRPr="0085443D">
        <w:rPr>
          <w:lang w:val="sr-Cyrl-BA"/>
        </w:rPr>
        <w:t xml:space="preserve"> - </w:t>
      </w:r>
      <w:r w:rsidRPr="0085443D">
        <w:rPr>
          <w:lang w:val="sr-Cyrl-BA"/>
        </w:rPr>
        <w:t>Doboj</w:t>
      </w:r>
      <w:r w:rsidR="007728C7" w:rsidRPr="0085443D">
        <w:rPr>
          <w:lang w:val="sr-Cyrl-BA"/>
        </w:rPr>
        <w:t xml:space="preserve">, </w:t>
      </w:r>
      <w:r w:rsidRPr="0085443D">
        <w:rPr>
          <w:lang w:val="sr-Cyrl-BA"/>
        </w:rPr>
        <w:t>te</w:t>
      </w:r>
      <w:r w:rsidR="007728C7" w:rsidRPr="0085443D">
        <w:rPr>
          <w:lang w:val="sr-Cyrl-BA"/>
        </w:rPr>
        <w:t xml:space="preserve"> </w:t>
      </w:r>
      <w:r w:rsidRPr="0085443D">
        <w:rPr>
          <w:lang w:val="sr-Cyrl-BA"/>
        </w:rPr>
        <w:t>auto</w:t>
      </w:r>
      <w:r w:rsidR="00ED0423" w:rsidRPr="0085443D">
        <w:t>-</w:t>
      </w:r>
      <w:r w:rsidRPr="0085443D">
        <w:rPr>
          <w:lang w:val="sr-Cyrl-BA"/>
        </w:rPr>
        <w:t>puta</w:t>
      </w:r>
      <w:r w:rsidR="007728C7" w:rsidRPr="0085443D">
        <w:rPr>
          <w:lang w:val="sr-Cyrl-BA"/>
        </w:rPr>
        <w:t xml:space="preserve"> </w:t>
      </w:r>
      <w:r w:rsidRPr="0085443D">
        <w:rPr>
          <w:lang w:val="sr-Cyrl-BA"/>
        </w:rPr>
        <w:t>Banja</w:t>
      </w:r>
      <w:r w:rsidR="007728C7" w:rsidRPr="0085443D">
        <w:rPr>
          <w:lang w:val="sr-Cyrl-BA"/>
        </w:rPr>
        <w:t xml:space="preserve"> </w:t>
      </w:r>
      <w:r w:rsidRPr="0085443D">
        <w:rPr>
          <w:lang w:val="sr-Cyrl-BA"/>
        </w:rPr>
        <w:t>Luka</w:t>
      </w:r>
      <w:r w:rsidR="007728C7" w:rsidRPr="0085443D">
        <w:rPr>
          <w:lang w:val="sr-Cyrl-BA"/>
        </w:rPr>
        <w:t xml:space="preserve"> - </w:t>
      </w:r>
      <w:r w:rsidRPr="0085443D">
        <w:rPr>
          <w:lang w:val="sr-Cyrl-BA"/>
        </w:rPr>
        <w:t>Doboj</w:t>
      </w:r>
      <w:r w:rsidR="007728C7" w:rsidRPr="0085443D">
        <w:rPr>
          <w:lang w:val="sr-Cyrl-BA"/>
        </w:rPr>
        <w:t xml:space="preserve">. </w:t>
      </w:r>
      <w:r w:rsidRPr="0085443D">
        <w:rPr>
          <w:lang w:val="sr-Cyrl-BA"/>
        </w:rPr>
        <w:t>Regulacioni</w:t>
      </w:r>
      <w:r w:rsidR="007728C7" w:rsidRPr="0085443D">
        <w:rPr>
          <w:lang w:val="sr-Cyrl-BA"/>
        </w:rPr>
        <w:t xml:space="preserve"> </w:t>
      </w:r>
      <w:r w:rsidRPr="0085443D">
        <w:rPr>
          <w:lang w:val="sr-Cyrl-BA"/>
        </w:rPr>
        <w:t>plan</w:t>
      </w:r>
      <w:r w:rsidR="007728C7" w:rsidRPr="0085443D">
        <w:rPr>
          <w:lang w:val="sr-Cyrl-BA"/>
        </w:rPr>
        <w:t xml:space="preserve"> </w:t>
      </w:r>
      <w:r w:rsidRPr="0085443D">
        <w:rPr>
          <w:lang w:val="sr-Cyrl-BA"/>
        </w:rPr>
        <w:t>poslovno</w:t>
      </w:r>
      <w:r w:rsidR="007728C7" w:rsidRPr="0085443D">
        <w:rPr>
          <w:lang w:val="sr-Cyrl-BA"/>
        </w:rPr>
        <w:t xml:space="preserve">- </w:t>
      </w:r>
      <w:r w:rsidRPr="0085443D">
        <w:rPr>
          <w:lang w:val="sr-Cyrl-BA"/>
        </w:rPr>
        <w:t>turističke</w:t>
      </w:r>
      <w:r w:rsidR="007728C7" w:rsidRPr="0085443D">
        <w:rPr>
          <w:lang w:val="sr-Cyrl-BA"/>
        </w:rPr>
        <w:t xml:space="preserve"> </w:t>
      </w:r>
      <w:r w:rsidRPr="0085443D">
        <w:rPr>
          <w:lang w:val="sr-Cyrl-BA"/>
        </w:rPr>
        <w:t>zone</w:t>
      </w:r>
      <w:r w:rsidR="007728C7" w:rsidRPr="0085443D">
        <w:rPr>
          <w:lang w:val="sr-Cyrl-BA"/>
        </w:rPr>
        <w:t xml:space="preserve"> „</w:t>
      </w:r>
      <w:r w:rsidRPr="0085443D">
        <w:rPr>
          <w:lang w:val="sr-Cyrl-BA"/>
        </w:rPr>
        <w:t>Vijaka</w:t>
      </w:r>
      <w:r w:rsidR="007728C7" w:rsidRPr="0085443D">
        <w:rPr>
          <w:lang w:val="sr-Cyrl-BA"/>
        </w:rPr>
        <w:t xml:space="preserve">“ </w:t>
      </w:r>
      <w:r w:rsidRPr="0085443D">
        <w:rPr>
          <w:lang w:val="sr-Cyrl-BA"/>
        </w:rPr>
        <w:t>usvojen</w:t>
      </w:r>
      <w:r w:rsidR="007728C7" w:rsidRPr="0085443D">
        <w:rPr>
          <w:lang w:val="sr-Cyrl-BA"/>
        </w:rPr>
        <w:t xml:space="preserve"> </w:t>
      </w:r>
      <w:r w:rsidRPr="0085443D">
        <w:rPr>
          <w:lang w:val="sr-Cyrl-BA"/>
        </w:rPr>
        <w:t>je</w:t>
      </w:r>
      <w:r w:rsidR="007728C7" w:rsidRPr="0085443D">
        <w:rPr>
          <w:lang w:val="sr-Cyrl-BA"/>
        </w:rPr>
        <w:t xml:space="preserve"> </w:t>
      </w:r>
      <w:r w:rsidRPr="0085443D">
        <w:rPr>
          <w:lang w:val="sr-Cyrl-BA"/>
        </w:rPr>
        <w:t>za</w:t>
      </w:r>
      <w:r w:rsidR="007728C7" w:rsidRPr="0085443D">
        <w:rPr>
          <w:lang w:val="sr-Cyrl-BA"/>
        </w:rPr>
        <w:t xml:space="preserve"> </w:t>
      </w:r>
      <w:r w:rsidRPr="0085443D">
        <w:rPr>
          <w:lang w:val="sr-Cyrl-BA"/>
        </w:rPr>
        <w:t>period</w:t>
      </w:r>
      <w:r w:rsidR="007728C7" w:rsidRPr="0085443D">
        <w:rPr>
          <w:lang w:val="sr-Cyrl-BA"/>
        </w:rPr>
        <w:t xml:space="preserve"> 2013-2023. </w:t>
      </w:r>
      <w:r w:rsidRPr="0085443D">
        <w:rPr>
          <w:lang w:val="sr-Cyrl-BA"/>
        </w:rPr>
        <w:t>godina</w:t>
      </w:r>
      <w:r w:rsidR="007728C7" w:rsidRPr="0085443D">
        <w:rPr>
          <w:lang w:val="sr-Cyrl-BA"/>
        </w:rPr>
        <w:t xml:space="preserve">. </w:t>
      </w:r>
      <w:r w:rsidR="00FC0669" w:rsidRPr="0085443D">
        <w:rPr>
          <w:lang w:val="sr-Cyrl-BA"/>
        </w:rPr>
        <w:t>Planom su definisani svi relevantni urbanističko-planski elementi za buduću izgradnju i plansko uređenje prostora obuhvata zone.</w:t>
      </w:r>
      <w:r w:rsidR="006D7A61" w:rsidRPr="0085443D">
        <w:rPr>
          <w:lang w:val="en-US"/>
        </w:rPr>
        <w:t xml:space="preserve"> </w:t>
      </w:r>
      <w:r w:rsidR="00FC0669" w:rsidRPr="0085443D">
        <w:rPr>
          <w:lang w:val="sr-Cyrl-BA"/>
        </w:rPr>
        <w:t>Predmetnu lokaciju presjeca na dva dijela trasa auto</w:t>
      </w:r>
      <w:r w:rsidR="00702C1C" w:rsidRPr="0085443D">
        <w:rPr>
          <w:lang w:val="sr-Cyrl-BA"/>
        </w:rPr>
        <w:t>-</w:t>
      </w:r>
      <w:r w:rsidR="00FC0669" w:rsidRPr="0085443D">
        <w:rPr>
          <w:lang w:val="sr-Cyrl-BA"/>
        </w:rPr>
        <w:t xml:space="preserve">puta Banja Luka-Doboj. </w:t>
      </w:r>
      <w:r w:rsidR="002B6EB6" w:rsidRPr="002B6EB6">
        <w:rPr>
          <w:highlight w:val="cyan"/>
          <w:lang w:val="sr-Cyrl-BA"/>
        </w:rPr>
        <w:t>U</w:t>
      </w:r>
      <w:r w:rsidR="002B6EB6" w:rsidRPr="002B6EB6">
        <w:rPr>
          <w:highlight w:val="cyan"/>
        </w:rPr>
        <w:t xml:space="preserve"> </w:t>
      </w:r>
      <w:r w:rsidR="002B6EB6" w:rsidRPr="002B6EB6">
        <w:rPr>
          <w:highlight w:val="cyan"/>
          <w:lang w:val="sr-Cyrl-BA"/>
        </w:rPr>
        <w:t>toku</w:t>
      </w:r>
      <w:r w:rsidR="002B6EB6" w:rsidRPr="002B6EB6">
        <w:rPr>
          <w:highlight w:val="cyan"/>
        </w:rPr>
        <w:t xml:space="preserve"> </w:t>
      </w:r>
      <w:r w:rsidR="002B6EB6" w:rsidRPr="002B6EB6">
        <w:rPr>
          <w:highlight w:val="cyan"/>
          <w:lang w:val="sr-Cyrl-BA"/>
        </w:rPr>
        <w:t>je</w:t>
      </w:r>
      <w:r w:rsidR="002B6EB6" w:rsidRPr="002B6EB6">
        <w:rPr>
          <w:highlight w:val="cyan"/>
        </w:rPr>
        <w:t xml:space="preserve"> </w:t>
      </w:r>
      <w:r w:rsidR="002B6EB6" w:rsidRPr="002B6EB6">
        <w:rPr>
          <w:highlight w:val="cyan"/>
          <w:lang w:val="sr-Cyrl-BA"/>
        </w:rPr>
        <w:t>rješavanje</w:t>
      </w:r>
      <w:r w:rsidR="002B6EB6" w:rsidRPr="002B6EB6">
        <w:rPr>
          <w:highlight w:val="cyan"/>
        </w:rPr>
        <w:t xml:space="preserve"> </w:t>
      </w:r>
      <w:r w:rsidR="002B6EB6" w:rsidRPr="002B6EB6">
        <w:rPr>
          <w:highlight w:val="cyan"/>
          <w:lang w:val="sr-Cyrl-BA"/>
        </w:rPr>
        <w:t>imovinskо-pravnih</w:t>
      </w:r>
      <w:r w:rsidR="002B6EB6" w:rsidRPr="002B6EB6">
        <w:rPr>
          <w:highlight w:val="cyan"/>
        </w:rPr>
        <w:t xml:space="preserve"> </w:t>
      </w:r>
      <w:r w:rsidR="002B6EB6" w:rsidRPr="002B6EB6">
        <w:rPr>
          <w:highlight w:val="cyan"/>
          <w:lang w:val="sr-Cyrl-BA"/>
        </w:rPr>
        <w:t>odnosa</w:t>
      </w:r>
      <w:r w:rsidR="002B6EB6" w:rsidRPr="002B6EB6">
        <w:rPr>
          <w:highlight w:val="cyan"/>
        </w:rPr>
        <w:t xml:space="preserve"> </w:t>
      </w:r>
      <w:r w:rsidR="002B6EB6" w:rsidRPr="002B6EB6">
        <w:rPr>
          <w:highlight w:val="cyan"/>
          <w:lang w:val="sr-Cyrl-BA"/>
        </w:rPr>
        <w:t>na</w:t>
      </w:r>
      <w:r w:rsidR="002B6EB6" w:rsidRPr="002B6EB6">
        <w:rPr>
          <w:highlight w:val="cyan"/>
        </w:rPr>
        <w:t xml:space="preserve"> dijelu </w:t>
      </w:r>
      <w:r w:rsidR="002B6EB6" w:rsidRPr="002B6EB6">
        <w:rPr>
          <w:highlight w:val="cyan"/>
          <w:lang w:val="sr-Cyrl-BA"/>
        </w:rPr>
        <w:t>predmetno</w:t>
      </w:r>
      <w:r w:rsidR="002B6EB6" w:rsidRPr="002B6EB6">
        <w:rPr>
          <w:highlight w:val="cyan"/>
        </w:rPr>
        <w:t xml:space="preserve">g </w:t>
      </w:r>
      <w:r w:rsidR="002B6EB6" w:rsidRPr="002B6EB6">
        <w:rPr>
          <w:highlight w:val="cyan"/>
          <w:lang w:val="sr-Cyrl-BA"/>
        </w:rPr>
        <w:t>zemljišt</w:t>
      </w:r>
      <w:r w:rsidR="002B6EB6" w:rsidRPr="002B6EB6">
        <w:rPr>
          <w:highlight w:val="cyan"/>
        </w:rPr>
        <w:t>a</w:t>
      </w:r>
      <w:r w:rsidR="002B6EB6" w:rsidRPr="002B6EB6">
        <w:rPr>
          <w:highlight w:val="cyan"/>
          <w:lang w:val="sr-Cyrl-BA"/>
        </w:rPr>
        <w:t>. Zona</w:t>
      </w:r>
      <w:r w:rsidR="002B6EB6" w:rsidRPr="002B6EB6">
        <w:rPr>
          <w:highlight w:val="cyan"/>
        </w:rPr>
        <w:t xml:space="preserve"> </w:t>
      </w:r>
      <w:r w:rsidR="002B6EB6" w:rsidRPr="002B6EB6">
        <w:rPr>
          <w:highlight w:val="cyan"/>
          <w:lang w:val="sr-Cyrl-BA"/>
        </w:rPr>
        <w:t>je</w:t>
      </w:r>
      <w:r w:rsidR="002B6EB6" w:rsidRPr="002B6EB6">
        <w:rPr>
          <w:highlight w:val="cyan"/>
        </w:rPr>
        <w:t xml:space="preserve"> </w:t>
      </w:r>
      <w:r w:rsidR="002B6EB6" w:rsidRPr="002B6EB6">
        <w:rPr>
          <w:highlight w:val="cyan"/>
          <w:lang w:val="sr-Cyrl-BA"/>
        </w:rPr>
        <w:t>namijenjena</w:t>
      </w:r>
      <w:r w:rsidR="002B6EB6" w:rsidRPr="002B6EB6">
        <w:rPr>
          <w:highlight w:val="cyan"/>
        </w:rPr>
        <w:t xml:space="preserve"> </w:t>
      </w:r>
      <w:r w:rsidR="002B6EB6" w:rsidRPr="002B6EB6">
        <w:rPr>
          <w:highlight w:val="cyan"/>
          <w:lang w:val="sr-Cyrl-BA"/>
        </w:rPr>
        <w:t>za</w:t>
      </w:r>
      <w:r w:rsidR="002B6EB6" w:rsidRPr="002B6EB6">
        <w:rPr>
          <w:highlight w:val="cyan"/>
        </w:rPr>
        <w:t xml:space="preserve"> </w:t>
      </w:r>
      <w:r w:rsidR="002B6EB6" w:rsidRPr="002B6EB6">
        <w:rPr>
          <w:i/>
          <w:highlight w:val="cyan"/>
          <w:lang w:val="sr-Cyrl-BA"/>
        </w:rPr>
        <w:t>greenfield</w:t>
      </w:r>
      <w:r w:rsidR="002B6EB6" w:rsidRPr="002B6EB6">
        <w:rPr>
          <w:i/>
          <w:highlight w:val="cyan"/>
        </w:rPr>
        <w:t xml:space="preserve"> </w:t>
      </w:r>
      <w:r w:rsidR="002B6EB6" w:rsidRPr="002B6EB6">
        <w:rPr>
          <w:highlight w:val="cyan"/>
          <w:lang w:val="sr-Cyrl-BA"/>
        </w:rPr>
        <w:t>investicije.</w:t>
      </w:r>
      <w:r w:rsidR="002B6EB6" w:rsidRPr="002B6EB6">
        <w:rPr>
          <w:highlight w:val="cyan"/>
        </w:rPr>
        <w:t xml:space="preserve"> </w:t>
      </w:r>
      <w:r w:rsidR="002B6EB6" w:rsidRPr="002B6EB6">
        <w:rPr>
          <w:highlight w:val="cyan"/>
          <w:lang w:val="sr-Cyrl-BA"/>
        </w:rPr>
        <w:t>Komunalna infrastruktura u samoj zoni nije građena, čeka se okončanje postupka za uknjižbu prava vlasništva</w:t>
      </w:r>
      <w:r w:rsidR="002B6EB6" w:rsidRPr="002B6EB6">
        <w:rPr>
          <w:highlight w:val="cyan"/>
        </w:rPr>
        <w:t xml:space="preserve"> na nekretninama upisanim u k.o. Vučijak,</w:t>
      </w:r>
      <w:r w:rsidR="002B6EB6" w:rsidRPr="002B6EB6">
        <w:rPr>
          <w:rStyle w:val="FootnoteReference"/>
          <w:highlight w:val="cyan"/>
          <w:lang w:val="sr-Cyrl-BA"/>
        </w:rPr>
        <w:footnoteReference w:id="5"/>
      </w:r>
      <w:r w:rsidR="002B6EB6" w:rsidRPr="002B6EB6">
        <w:rPr>
          <w:highlight w:val="cyan"/>
          <w:lang w:val="sr-Cyrl-BA"/>
        </w:rPr>
        <w:t>ali je oko 50% infrastrukture (putevi, komunalna infrastruktura) do poslovne zone izgrađeno</w:t>
      </w:r>
      <w:r w:rsidR="002B6EB6" w:rsidRPr="002B6EB6">
        <w:rPr>
          <w:highlight w:val="cyan"/>
          <w:lang w:val="en-US"/>
        </w:rPr>
        <w:t>.</w:t>
      </w:r>
      <w:r w:rsidR="002B6EB6" w:rsidRPr="002B6EB6">
        <w:rPr>
          <w:rStyle w:val="FootnoteReference"/>
          <w:highlight w:val="cyan"/>
          <w:lang w:val="en-US"/>
        </w:rPr>
        <w:footnoteReference w:id="6"/>
      </w:r>
      <w:r w:rsidR="002B6EB6" w:rsidRPr="002B6EB6">
        <w:rPr>
          <w:highlight w:val="cyan"/>
          <w:lang w:val="en-US"/>
        </w:rPr>
        <w:t xml:space="preserve"> Za dio zone (nekretnine uknjižene u k.o. Štrpci) uknjiženo je pravo vlasništva i posjeda u korist Opštine Prnjavor.</w:t>
      </w:r>
      <w:r w:rsidR="00F22255" w:rsidRPr="0085443D">
        <w:rPr>
          <w:rStyle w:val="FootnoteReference"/>
          <w:lang w:val="en-US"/>
        </w:rPr>
        <w:footnoteReference w:id="7"/>
      </w:r>
      <w:r w:rsidR="006C6FFF" w:rsidRPr="0085443D">
        <w:rPr>
          <w:lang w:val="en-US"/>
        </w:rPr>
        <w:t xml:space="preserve"> Na području opštin</w:t>
      </w:r>
      <w:r w:rsidR="002B6EB6">
        <w:rPr>
          <w:lang w:val="en-US"/>
        </w:rPr>
        <w:t>e</w:t>
      </w:r>
      <w:r w:rsidR="006C6FFF" w:rsidRPr="0085443D">
        <w:rPr>
          <w:lang w:val="en-US"/>
        </w:rPr>
        <w:t xml:space="preserve"> su još:</w:t>
      </w:r>
    </w:p>
    <w:p w14:paraId="3D9274DB" w14:textId="77777777" w:rsidR="007A78BB" w:rsidRPr="0085443D" w:rsidRDefault="007B3DED" w:rsidP="009901CE">
      <w:pPr>
        <w:pStyle w:val="ListParagraph"/>
        <w:numPr>
          <w:ilvl w:val="0"/>
          <w:numId w:val="9"/>
        </w:numPr>
        <w:rPr>
          <w:lang w:val="sr-Cyrl-BA"/>
        </w:rPr>
      </w:pPr>
      <w:r w:rsidRPr="0085443D">
        <w:rPr>
          <w:lang w:val="sr-Cyrl-BA"/>
        </w:rPr>
        <w:lastRenderedPageBreak/>
        <w:t>Poslovna</w:t>
      </w:r>
      <w:r w:rsidR="007A78BB" w:rsidRPr="0085443D">
        <w:rPr>
          <w:lang w:val="sr-Cyrl-BA"/>
        </w:rPr>
        <w:t xml:space="preserve"> </w:t>
      </w:r>
      <w:r w:rsidRPr="0085443D">
        <w:rPr>
          <w:lang w:val="sr-Cyrl-BA"/>
        </w:rPr>
        <w:t>zona</w:t>
      </w:r>
      <w:r w:rsidR="007A78BB" w:rsidRPr="0085443D">
        <w:rPr>
          <w:lang w:val="sr-Cyrl-BA"/>
        </w:rPr>
        <w:t xml:space="preserve"> </w:t>
      </w:r>
      <w:r w:rsidRPr="0085443D">
        <w:rPr>
          <w:lang w:val="sr-Cyrl-BA"/>
        </w:rPr>
        <w:t>u</w:t>
      </w:r>
      <w:r w:rsidR="007A78BB" w:rsidRPr="0085443D">
        <w:rPr>
          <w:lang w:val="sr-Cyrl-BA"/>
        </w:rPr>
        <w:t xml:space="preserve"> </w:t>
      </w:r>
      <w:r w:rsidRPr="0085443D">
        <w:rPr>
          <w:lang w:val="sr-Cyrl-BA"/>
        </w:rPr>
        <w:t>obuhvatu</w:t>
      </w:r>
      <w:r w:rsidR="007A78BB" w:rsidRPr="0085443D">
        <w:rPr>
          <w:lang w:val="sr-Cyrl-BA"/>
        </w:rPr>
        <w:t xml:space="preserve"> </w:t>
      </w:r>
      <w:r w:rsidRPr="0085443D">
        <w:rPr>
          <w:lang w:val="sr-Cyrl-BA"/>
        </w:rPr>
        <w:t>Regulacionog</w:t>
      </w:r>
      <w:r w:rsidR="007A78BB" w:rsidRPr="0085443D">
        <w:rPr>
          <w:lang w:val="sr-Cyrl-BA"/>
        </w:rPr>
        <w:t xml:space="preserve"> </w:t>
      </w:r>
      <w:r w:rsidRPr="0085443D">
        <w:rPr>
          <w:lang w:val="sr-Cyrl-BA"/>
        </w:rPr>
        <w:t>plana</w:t>
      </w:r>
      <w:r w:rsidR="007A78BB" w:rsidRPr="0085443D">
        <w:rPr>
          <w:lang w:val="sr-Cyrl-BA"/>
        </w:rPr>
        <w:t xml:space="preserve"> „</w:t>
      </w:r>
      <w:r w:rsidRPr="0085443D">
        <w:rPr>
          <w:lang w:val="sr-Cyrl-BA"/>
        </w:rPr>
        <w:t>Kootep</w:t>
      </w:r>
      <w:r w:rsidR="006C6FFF" w:rsidRPr="0085443D">
        <w:rPr>
          <w:lang w:val="sr-Cyrl-BA"/>
        </w:rPr>
        <w:t>“,</w:t>
      </w:r>
    </w:p>
    <w:p w14:paraId="3699D398" w14:textId="77777777" w:rsidR="007A78BB" w:rsidRPr="0085443D" w:rsidRDefault="007B3DED" w:rsidP="009901CE">
      <w:pPr>
        <w:pStyle w:val="ListParagraph"/>
        <w:numPr>
          <w:ilvl w:val="0"/>
          <w:numId w:val="9"/>
        </w:numPr>
        <w:rPr>
          <w:lang w:val="sr-Cyrl-BA"/>
        </w:rPr>
      </w:pPr>
      <w:r w:rsidRPr="0085443D">
        <w:rPr>
          <w:lang w:val="sr-Cyrl-BA"/>
        </w:rPr>
        <w:t>Poslovna</w:t>
      </w:r>
      <w:r w:rsidR="007A78BB" w:rsidRPr="0085443D">
        <w:rPr>
          <w:lang w:val="sr-Cyrl-BA"/>
        </w:rPr>
        <w:t xml:space="preserve"> </w:t>
      </w:r>
      <w:r w:rsidRPr="0085443D">
        <w:rPr>
          <w:lang w:val="sr-Cyrl-BA"/>
        </w:rPr>
        <w:t>zona</w:t>
      </w:r>
      <w:r w:rsidR="007A78BB" w:rsidRPr="0085443D">
        <w:rPr>
          <w:lang w:val="sr-Cyrl-BA"/>
        </w:rPr>
        <w:t xml:space="preserve"> </w:t>
      </w:r>
      <w:r w:rsidRPr="0085443D">
        <w:rPr>
          <w:lang w:val="sr-Cyrl-BA"/>
        </w:rPr>
        <w:t>u</w:t>
      </w:r>
      <w:r w:rsidR="007A78BB" w:rsidRPr="0085443D">
        <w:rPr>
          <w:lang w:val="sr-Cyrl-BA"/>
        </w:rPr>
        <w:t xml:space="preserve"> </w:t>
      </w:r>
      <w:r w:rsidRPr="0085443D">
        <w:rPr>
          <w:lang w:val="sr-Cyrl-BA"/>
        </w:rPr>
        <w:t>obuhvatu</w:t>
      </w:r>
      <w:r w:rsidR="007A78BB" w:rsidRPr="0085443D">
        <w:rPr>
          <w:lang w:val="sr-Cyrl-BA"/>
        </w:rPr>
        <w:t xml:space="preserve"> </w:t>
      </w:r>
      <w:r w:rsidRPr="0085443D">
        <w:rPr>
          <w:lang w:val="sr-Cyrl-BA"/>
        </w:rPr>
        <w:t>Regulacionog</w:t>
      </w:r>
      <w:r w:rsidR="007A78BB" w:rsidRPr="0085443D">
        <w:rPr>
          <w:lang w:val="sr-Cyrl-BA"/>
        </w:rPr>
        <w:t xml:space="preserve"> </w:t>
      </w:r>
      <w:r w:rsidRPr="0085443D">
        <w:rPr>
          <w:lang w:val="sr-Cyrl-BA"/>
        </w:rPr>
        <w:t>plana</w:t>
      </w:r>
      <w:r w:rsidR="007A78BB" w:rsidRPr="0085443D">
        <w:rPr>
          <w:lang w:val="sr-Cyrl-BA"/>
        </w:rPr>
        <w:t xml:space="preserve"> </w:t>
      </w:r>
      <w:r w:rsidRPr="0085443D">
        <w:rPr>
          <w:lang w:val="sr-Cyrl-BA"/>
        </w:rPr>
        <w:t>u</w:t>
      </w:r>
      <w:r w:rsidR="007A78BB" w:rsidRPr="0085443D">
        <w:rPr>
          <w:lang w:val="sr-Cyrl-BA"/>
        </w:rPr>
        <w:t xml:space="preserve"> </w:t>
      </w:r>
      <w:r w:rsidRPr="0085443D">
        <w:rPr>
          <w:lang w:val="sr-Cyrl-BA"/>
        </w:rPr>
        <w:t>zoni</w:t>
      </w:r>
      <w:r w:rsidR="007A78BB" w:rsidRPr="0085443D">
        <w:rPr>
          <w:lang w:val="sr-Cyrl-BA"/>
        </w:rPr>
        <w:t xml:space="preserve"> </w:t>
      </w:r>
      <w:r w:rsidRPr="0085443D">
        <w:rPr>
          <w:lang w:val="sr-Cyrl-BA"/>
        </w:rPr>
        <w:t>uticaja</w:t>
      </w:r>
      <w:r w:rsidR="007A78BB" w:rsidRPr="0085443D">
        <w:rPr>
          <w:lang w:val="sr-Cyrl-BA"/>
        </w:rPr>
        <w:t xml:space="preserve"> </w:t>
      </w:r>
      <w:r w:rsidRPr="0085443D">
        <w:rPr>
          <w:lang w:val="sr-Cyrl-BA"/>
        </w:rPr>
        <w:t>magistralnog</w:t>
      </w:r>
      <w:r w:rsidR="007A78BB" w:rsidRPr="0085443D">
        <w:rPr>
          <w:lang w:val="sr-Cyrl-BA"/>
        </w:rPr>
        <w:t xml:space="preserve"> </w:t>
      </w:r>
      <w:r w:rsidRPr="0085443D">
        <w:rPr>
          <w:lang w:val="sr-Cyrl-BA"/>
        </w:rPr>
        <w:t>puta</w:t>
      </w:r>
      <w:r w:rsidR="007A78BB" w:rsidRPr="0085443D">
        <w:rPr>
          <w:lang w:val="sr-Cyrl-BA"/>
        </w:rPr>
        <w:t xml:space="preserve"> </w:t>
      </w:r>
      <w:r w:rsidRPr="0085443D">
        <w:rPr>
          <w:lang w:val="sr-Cyrl-BA"/>
        </w:rPr>
        <w:t>M</w:t>
      </w:r>
      <w:r w:rsidR="007A78BB" w:rsidRPr="0085443D">
        <w:rPr>
          <w:lang w:val="sr-Cyrl-BA"/>
        </w:rPr>
        <w:t xml:space="preserve">16.1 </w:t>
      </w:r>
      <w:r w:rsidRPr="0085443D">
        <w:rPr>
          <w:lang w:val="sr-Cyrl-BA"/>
        </w:rPr>
        <w:t>Klašnice</w:t>
      </w:r>
      <w:r w:rsidR="007A78BB" w:rsidRPr="0085443D">
        <w:rPr>
          <w:lang w:val="sr-Cyrl-BA"/>
        </w:rPr>
        <w:t>-</w:t>
      </w:r>
      <w:r w:rsidRPr="0085443D">
        <w:rPr>
          <w:lang w:val="sr-Cyrl-BA"/>
        </w:rPr>
        <w:t>Derventa</w:t>
      </w:r>
      <w:r w:rsidR="007A78BB" w:rsidRPr="0085443D">
        <w:rPr>
          <w:lang w:val="sr-Cyrl-BA"/>
        </w:rPr>
        <w:t xml:space="preserve">, </w:t>
      </w:r>
      <w:r w:rsidRPr="0085443D">
        <w:rPr>
          <w:lang w:val="sr-Cyrl-BA"/>
        </w:rPr>
        <w:t>teritorija</w:t>
      </w:r>
      <w:r w:rsidR="007A78BB" w:rsidRPr="0085443D">
        <w:rPr>
          <w:lang w:val="sr-Cyrl-BA"/>
        </w:rPr>
        <w:t xml:space="preserve"> </w:t>
      </w:r>
      <w:r w:rsidRPr="0085443D">
        <w:rPr>
          <w:lang w:val="sr-Cyrl-BA"/>
        </w:rPr>
        <w:t>opštine</w:t>
      </w:r>
      <w:r w:rsidR="007A78BB" w:rsidRPr="0085443D">
        <w:rPr>
          <w:lang w:val="sr-Cyrl-BA"/>
        </w:rPr>
        <w:t xml:space="preserve"> </w:t>
      </w:r>
      <w:r w:rsidRPr="0085443D">
        <w:rPr>
          <w:lang w:val="sr-Cyrl-BA"/>
        </w:rPr>
        <w:t>Prnjavor</w:t>
      </w:r>
      <w:r w:rsidR="006C6FFF" w:rsidRPr="0085443D">
        <w:rPr>
          <w:lang w:val="sr-Cyrl-BA"/>
        </w:rPr>
        <w:t>,</w:t>
      </w:r>
    </w:p>
    <w:p w14:paraId="4657467C" w14:textId="77777777" w:rsidR="007A78BB" w:rsidRPr="0085443D" w:rsidRDefault="007B3DED" w:rsidP="009901CE">
      <w:pPr>
        <w:pStyle w:val="ListParagraph"/>
        <w:numPr>
          <w:ilvl w:val="0"/>
          <w:numId w:val="9"/>
        </w:numPr>
        <w:rPr>
          <w:lang w:val="sr-Cyrl-BA"/>
        </w:rPr>
      </w:pPr>
      <w:r w:rsidRPr="0085443D">
        <w:rPr>
          <w:lang w:val="sr-Cyrl-BA"/>
        </w:rPr>
        <w:t>Poslovna</w:t>
      </w:r>
      <w:r w:rsidR="007A78BB" w:rsidRPr="0085443D">
        <w:rPr>
          <w:lang w:val="sr-Cyrl-BA"/>
        </w:rPr>
        <w:t xml:space="preserve"> </w:t>
      </w:r>
      <w:r w:rsidRPr="0085443D">
        <w:rPr>
          <w:lang w:val="sr-Cyrl-BA"/>
        </w:rPr>
        <w:t>zona</w:t>
      </w:r>
      <w:r w:rsidR="007A78BB" w:rsidRPr="0085443D">
        <w:rPr>
          <w:lang w:val="sr-Cyrl-BA"/>
        </w:rPr>
        <w:t xml:space="preserve"> </w:t>
      </w:r>
      <w:r w:rsidRPr="0085443D">
        <w:rPr>
          <w:lang w:val="sr-Cyrl-BA"/>
        </w:rPr>
        <w:t>u</w:t>
      </w:r>
      <w:r w:rsidR="007A78BB" w:rsidRPr="0085443D">
        <w:rPr>
          <w:lang w:val="sr-Cyrl-BA"/>
        </w:rPr>
        <w:t xml:space="preserve"> </w:t>
      </w:r>
      <w:r w:rsidRPr="0085443D">
        <w:rPr>
          <w:lang w:val="sr-Cyrl-BA"/>
        </w:rPr>
        <w:t>obuhvatu</w:t>
      </w:r>
      <w:r w:rsidR="007A78BB" w:rsidRPr="0085443D">
        <w:rPr>
          <w:lang w:val="sr-Cyrl-BA"/>
        </w:rPr>
        <w:t xml:space="preserve"> </w:t>
      </w:r>
      <w:r w:rsidRPr="0085443D">
        <w:rPr>
          <w:lang w:val="sr-Cyrl-BA"/>
        </w:rPr>
        <w:t>Regulacionog</w:t>
      </w:r>
      <w:r w:rsidR="007A78BB" w:rsidRPr="0085443D">
        <w:rPr>
          <w:lang w:val="sr-Cyrl-BA"/>
        </w:rPr>
        <w:t xml:space="preserve"> </w:t>
      </w:r>
      <w:r w:rsidRPr="0085443D">
        <w:rPr>
          <w:lang w:val="sr-Cyrl-BA"/>
        </w:rPr>
        <w:t>plana</w:t>
      </w:r>
      <w:r w:rsidR="007A78BB" w:rsidRPr="0085443D">
        <w:rPr>
          <w:lang w:val="sr-Cyrl-BA"/>
        </w:rPr>
        <w:t xml:space="preserve"> „</w:t>
      </w:r>
      <w:r w:rsidRPr="0085443D">
        <w:rPr>
          <w:lang w:val="sr-Cyrl-BA"/>
        </w:rPr>
        <w:t>Jelšingrad</w:t>
      </w:r>
      <w:r w:rsidR="006C6FFF" w:rsidRPr="0085443D">
        <w:rPr>
          <w:lang w:val="sr-Cyrl-BA"/>
        </w:rPr>
        <w:t>“,</w:t>
      </w:r>
    </w:p>
    <w:p w14:paraId="1D37DBD7" w14:textId="77777777" w:rsidR="007A78BB" w:rsidRPr="0085443D" w:rsidRDefault="007B3DED" w:rsidP="009901CE">
      <w:pPr>
        <w:pStyle w:val="ListParagraph"/>
        <w:numPr>
          <w:ilvl w:val="0"/>
          <w:numId w:val="9"/>
        </w:numPr>
        <w:rPr>
          <w:lang w:val="sr-Cyrl-BA"/>
        </w:rPr>
      </w:pPr>
      <w:r w:rsidRPr="0085443D">
        <w:rPr>
          <w:lang w:val="sr-Cyrl-BA"/>
        </w:rPr>
        <w:t>Poslovna</w:t>
      </w:r>
      <w:r w:rsidR="007A78BB" w:rsidRPr="0085443D">
        <w:rPr>
          <w:lang w:val="sr-Cyrl-BA"/>
        </w:rPr>
        <w:t xml:space="preserve"> </w:t>
      </w:r>
      <w:r w:rsidRPr="0085443D">
        <w:rPr>
          <w:lang w:val="sr-Cyrl-BA"/>
        </w:rPr>
        <w:t>zona</w:t>
      </w:r>
      <w:r w:rsidR="007A78BB" w:rsidRPr="0085443D">
        <w:rPr>
          <w:lang w:val="sr-Cyrl-BA"/>
        </w:rPr>
        <w:t xml:space="preserve"> </w:t>
      </w:r>
      <w:r w:rsidRPr="0085443D">
        <w:rPr>
          <w:lang w:val="sr-Cyrl-BA"/>
        </w:rPr>
        <w:t>u</w:t>
      </w:r>
      <w:r w:rsidR="007A78BB" w:rsidRPr="0085443D">
        <w:rPr>
          <w:lang w:val="sr-Cyrl-BA"/>
        </w:rPr>
        <w:t xml:space="preserve"> </w:t>
      </w:r>
      <w:r w:rsidRPr="0085443D">
        <w:rPr>
          <w:lang w:val="sr-Cyrl-BA"/>
        </w:rPr>
        <w:t>obuhvatu</w:t>
      </w:r>
      <w:r w:rsidR="007A78BB" w:rsidRPr="0085443D">
        <w:rPr>
          <w:lang w:val="sr-Cyrl-BA"/>
        </w:rPr>
        <w:t xml:space="preserve"> </w:t>
      </w:r>
      <w:r w:rsidRPr="0085443D">
        <w:rPr>
          <w:lang w:val="sr-Cyrl-BA"/>
        </w:rPr>
        <w:t>Regulacionog</w:t>
      </w:r>
      <w:r w:rsidR="007A78BB" w:rsidRPr="0085443D">
        <w:rPr>
          <w:lang w:val="sr-Cyrl-BA"/>
        </w:rPr>
        <w:t xml:space="preserve"> </w:t>
      </w:r>
      <w:r w:rsidRPr="0085443D">
        <w:rPr>
          <w:lang w:val="sr-Cyrl-BA"/>
        </w:rPr>
        <w:t>plana</w:t>
      </w:r>
      <w:r w:rsidR="007A78BB" w:rsidRPr="0085443D">
        <w:rPr>
          <w:lang w:val="sr-Cyrl-BA"/>
        </w:rPr>
        <w:t xml:space="preserve"> „</w:t>
      </w:r>
      <w:r w:rsidRPr="0085443D">
        <w:rPr>
          <w:lang w:val="sr-Cyrl-BA"/>
        </w:rPr>
        <w:t>Silos</w:t>
      </w:r>
      <w:r w:rsidR="007A78BB" w:rsidRPr="0085443D">
        <w:rPr>
          <w:lang w:val="sr-Cyrl-BA"/>
        </w:rPr>
        <w:t>“</w:t>
      </w:r>
      <w:r w:rsidR="006C6FFF" w:rsidRPr="0085443D">
        <w:rPr>
          <w:lang w:val="sr-Latn-BA"/>
        </w:rPr>
        <w:t>.</w:t>
      </w:r>
    </w:p>
    <w:p w14:paraId="02F983F4" w14:textId="77777777" w:rsidR="00FC0669" w:rsidRPr="0085443D" w:rsidRDefault="00922CEB" w:rsidP="009D7478">
      <w:pPr>
        <w:widowControl w:val="0"/>
        <w:overflowPunct w:val="0"/>
        <w:autoSpaceDE w:val="0"/>
        <w:autoSpaceDN w:val="0"/>
        <w:adjustRightInd w:val="0"/>
        <w:spacing w:after="100"/>
        <w:jc w:val="both"/>
        <w:rPr>
          <w:rFonts w:cs="Calibri"/>
        </w:rPr>
      </w:pPr>
      <w:r w:rsidRPr="0085443D">
        <w:rPr>
          <w:rFonts w:cs="Calibri"/>
        </w:rPr>
        <w:t>U oblasti privlačenja investicija, izrađen je Investicioni sažetak opšt</w:t>
      </w:r>
      <w:r w:rsidR="006C6FFF" w:rsidRPr="0085443D">
        <w:rPr>
          <w:rFonts w:cs="Calibri"/>
        </w:rPr>
        <w:t xml:space="preserve">ine Prnjavor </w:t>
      </w:r>
      <w:r w:rsidRPr="0085443D">
        <w:rPr>
          <w:rFonts w:cs="Calibri"/>
        </w:rPr>
        <w:t>i promotivni film.</w:t>
      </w:r>
      <w:r w:rsidR="0010129C" w:rsidRPr="0085443D">
        <w:rPr>
          <w:rFonts w:cs="Calibri"/>
        </w:rPr>
        <w:t xml:space="preserve"> Takođe, realizacijom projekta Regulatorne reforme investitorima je omogućeno smanjenje troškova i rizika poslovanja kroz pojednostavljenje administra</w:t>
      </w:r>
      <w:r w:rsidR="00976B73">
        <w:rPr>
          <w:rFonts w:cs="Calibri"/>
        </w:rPr>
        <w:t>tivnih postupaka u nadležnosti O</w:t>
      </w:r>
      <w:r w:rsidR="0010129C" w:rsidRPr="0085443D">
        <w:rPr>
          <w:rFonts w:cs="Calibri"/>
        </w:rPr>
        <w:t>pštine i smanjenje cijene usluga opštinske administracije, skraćenje rokova rješavanja zahtjeva, te transparentan pristup informacijama kroz uspostavu E-registra dostu</w:t>
      </w:r>
      <w:r w:rsidR="00976B73">
        <w:rPr>
          <w:rFonts w:cs="Calibri"/>
        </w:rPr>
        <w:t>pnog na zvaničnoj web stranici O</w:t>
      </w:r>
      <w:r w:rsidR="0010129C" w:rsidRPr="0085443D">
        <w:rPr>
          <w:rFonts w:cs="Calibri"/>
        </w:rPr>
        <w:t>pštine.</w:t>
      </w:r>
      <w:r w:rsidR="00F22255" w:rsidRPr="0085443D">
        <w:rPr>
          <w:rFonts w:cs="Calibri"/>
        </w:rPr>
        <w:t xml:space="preserve"> </w:t>
      </w:r>
      <w:r w:rsidR="009D7478" w:rsidRPr="0085443D">
        <w:rPr>
          <w:rFonts w:cs="Calibri"/>
        </w:rPr>
        <w:t>Takođe, Privredni savjet je osnovan 2014. godine i kroz dijalog javnog i privatnog sektora zajednički radi na unapređenju preduzetništva i konkurentnosti preduzeća i privrednom i društvenom razvoju opštine.</w:t>
      </w:r>
      <w:r w:rsidR="00F22255" w:rsidRPr="0085443D">
        <w:rPr>
          <w:rStyle w:val="FootnoteReference"/>
          <w:rFonts w:cs="Calibri"/>
        </w:rPr>
        <w:footnoteReference w:id="8"/>
      </w:r>
    </w:p>
    <w:p w14:paraId="3947C7A3" w14:textId="77777777" w:rsidR="009D7478" w:rsidRPr="0085443D" w:rsidRDefault="009D7478" w:rsidP="003B497A">
      <w:pPr>
        <w:spacing w:after="100"/>
        <w:jc w:val="both"/>
      </w:pPr>
    </w:p>
    <w:p w14:paraId="11C28133" w14:textId="77777777" w:rsidR="003B497A" w:rsidRPr="0085443D" w:rsidRDefault="003B497A" w:rsidP="003B497A">
      <w:pPr>
        <w:spacing w:after="100"/>
        <w:jc w:val="both"/>
        <w:rPr>
          <w:b/>
          <w:i/>
        </w:rPr>
      </w:pPr>
      <w:r w:rsidRPr="0085443D">
        <w:rPr>
          <w:b/>
          <w:i/>
        </w:rPr>
        <w:t>Poljoprivreda</w:t>
      </w:r>
    </w:p>
    <w:p w14:paraId="6DE348DB" w14:textId="77777777" w:rsidR="00112985" w:rsidRPr="0085443D" w:rsidRDefault="00112985" w:rsidP="003765EA">
      <w:pPr>
        <w:widowControl w:val="0"/>
        <w:overflowPunct w:val="0"/>
        <w:autoSpaceDE w:val="0"/>
        <w:autoSpaceDN w:val="0"/>
        <w:adjustRightInd w:val="0"/>
        <w:spacing w:after="100"/>
        <w:jc w:val="both"/>
        <w:rPr>
          <w:rFonts w:cs="Calibri"/>
        </w:rPr>
      </w:pPr>
      <w:r w:rsidRPr="0085443D">
        <w:rPr>
          <w:rFonts w:cs="Calibri"/>
        </w:rPr>
        <w:t>Prema evidenciji Agencije za posredničke, informatičke i finansijske  usluge (APIF) u Registar poljoprivrednih gazdinstava i Registar korisnika podsticajnih sr</w:t>
      </w:r>
      <w:r w:rsidR="003A6D69" w:rsidRPr="0085443D">
        <w:rPr>
          <w:rFonts w:cs="Calibri"/>
        </w:rPr>
        <w:t>edstava zaključno sa 31.12.</w:t>
      </w:r>
      <w:r w:rsidRPr="0085443D">
        <w:rPr>
          <w:rFonts w:cs="Calibri"/>
        </w:rPr>
        <w:t>2016. godine registrovano je ukupno 1986 poljoprivrednih gazdinstava, od čega je:</w:t>
      </w:r>
    </w:p>
    <w:p w14:paraId="436EF6C4" w14:textId="77777777" w:rsidR="00112985" w:rsidRPr="0085443D" w:rsidRDefault="00112985" w:rsidP="009901CE">
      <w:pPr>
        <w:pStyle w:val="ListParagraph"/>
        <w:widowControl w:val="0"/>
        <w:numPr>
          <w:ilvl w:val="0"/>
          <w:numId w:val="12"/>
        </w:numPr>
        <w:overflowPunct w:val="0"/>
        <w:autoSpaceDE w:val="0"/>
        <w:autoSpaceDN w:val="0"/>
        <w:adjustRightInd w:val="0"/>
        <w:spacing w:before="0" w:after="100" w:line="240" w:lineRule="auto"/>
        <w:ind w:left="714" w:hanging="357"/>
        <w:rPr>
          <w:rFonts w:cs="Calibri"/>
        </w:rPr>
      </w:pPr>
      <w:r w:rsidRPr="0085443D">
        <w:rPr>
          <w:rFonts w:cs="Calibri"/>
        </w:rPr>
        <w:t xml:space="preserve">Komercijalnih gazdinstava                                      </w:t>
      </w:r>
      <w:r w:rsidR="003A6D69" w:rsidRPr="0085443D">
        <w:rPr>
          <w:rFonts w:cs="Calibri"/>
        </w:rPr>
        <w:t xml:space="preserve"> </w:t>
      </w:r>
      <w:r w:rsidRPr="0085443D">
        <w:rPr>
          <w:rFonts w:cs="Calibri"/>
        </w:rPr>
        <w:t xml:space="preserve"> 230</w:t>
      </w:r>
    </w:p>
    <w:p w14:paraId="12FD84C3" w14:textId="77777777" w:rsidR="00112985" w:rsidRPr="0085443D" w:rsidRDefault="00112985" w:rsidP="009901CE">
      <w:pPr>
        <w:pStyle w:val="ListParagraph"/>
        <w:widowControl w:val="0"/>
        <w:numPr>
          <w:ilvl w:val="0"/>
          <w:numId w:val="12"/>
        </w:numPr>
        <w:overflowPunct w:val="0"/>
        <w:autoSpaceDE w:val="0"/>
        <w:autoSpaceDN w:val="0"/>
        <w:adjustRightInd w:val="0"/>
        <w:spacing w:before="0" w:after="100" w:line="240" w:lineRule="auto"/>
        <w:ind w:left="714" w:hanging="357"/>
        <w:rPr>
          <w:rFonts w:cs="Calibri"/>
        </w:rPr>
      </w:pPr>
      <w:r w:rsidRPr="0085443D">
        <w:rPr>
          <w:rFonts w:cs="Calibri"/>
        </w:rPr>
        <w:t xml:space="preserve">Nekomercijalnih gazdinstava                                 1735    </w:t>
      </w:r>
    </w:p>
    <w:p w14:paraId="22DAF23A" w14:textId="77777777" w:rsidR="00112985" w:rsidRPr="0085443D" w:rsidRDefault="00112985" w:rsidP="009901CE">
      <w:pPr>
        <w:pStyle w:val="ListParagraph"/>
        <w:widowControl w:val="0"/>
        <w:numPr>
          <w:ilvl w:val="0"/>
          <w:numId w:val="12"/>
        </w:numPr>
        <w:overflowPunct w:val="0"/>
        <w:autoSpaceDE w:val="0"/>
        <w:autoSpaceDN w:val="0"/>
        <w:adjustRightInd w:val="0"/>
        <w:spacing w:before="0" w:after="100" w:line="240" w:lineRule="auto"/>
        <w:ind w:left="714" w:hanging="357"/>
        <w:rPr>
          <w:rFonts w:cs="Calibri"/>
        </w:rPr>
      </w:pPr>
      <w:r w:rsidRPr="0085443D">
        <w:rPr>
          <w:rFonts w:cs="Calibri"/>
        </w:rPr>
        <w:t>Pravnih lica</w:t>
      </w:r>
      <w:r w:rsidR="00474402" w:rsidRPr="0085443D">
        <w:rPr>
          <w:rFonts w:cs="Calibri"/>
        </w:rPr>
        <w:t xml:space="preserve"> - preduzetnika</w:t>
      </w:r>
      <w:r w:rsidRPr="0085443D">
        <w:rPr>
          <w:rFonts w:cs="Calibri"/>
        </w:rPr>
        <w:t xml:space="preserve">                                     </w:t>
      </w:r>
      <w:r w:rsidR="003A6D69" w:rsidRPr="0085443D">
        <w:rPr>
          <w:rFonts w:cs="Calibri"/>
        </w:rPr>
        <w:t xml:space="preserve">     </w:t>
      </w:r>
      <w:r w:rsidRPr="0085443D">
        <w:rPr>
          <w:rFonts w:cs="Calibri"/>
        </w:rPr>
        <w:t>21</w:t>
      </w:r>
    </w:p>
    <w:p w14:paraId="448B5630" w14:textId="77777777" w:rsidR="00112985" w:rsidRPr="0085443D" w:rsidRDefault="00112985" w:rsidP="003765EA">
      <w:pPr>
        <w:widowControl w:val="0"/>
        <w:overflowPunct w:val="0"/>
        <w:autoSpaceDE w:val="0"/>
        <w:autoSpaceDN w:val="0"/>
        <w:adjustRightInd w:val="0"/>
        <w:spacing w:after="100"/>
        <w:jc w:val="both"/>
        <w:rPr>
          <w:rFonts w:cs="Calibri"/>
        </w:rPr>
      </w:pPr>
      <w:r w:rsidRPr="0085443D">
        <w:rPr>
          <w:rFonts w:cs="Calibri"/>
        </w:rPr>
        <w:t>Prema evidenciji Odjeljenja za poljoprivredu, vodoprivredu i šumarstvo Opštinske uprave opštine Prnjavor na području opštine registrovane su tri poljoprivredne zadruge:</w:t>
      </w:r>
    </w:p>
    <w:p w14:paraId="30765557" w14:textId="77777777" w:rsidR="00112985" w:rsidRPr="0085443D" w:rsidRDefault="00474402" w:rsidP="009901CE">
      <w:pPr>
        <w:pStyle w:val="ListParagraph"/>
        <w:widowControl w:val="0"/>
        <w:numPr>
          <w:ilvl w:val="0"/>
          <w:numId w:val="12"/>
        </w:numPr>
        <w:overflowPunct w:val="0"/>
        <w:autoSpaceDE w:val="0"/>
        <w:autoSpaceDN w:val="0"/>
        <w:adjustRightInd w:val="0"/>
        <w:spacing w:before="0" w:after="100" w:line="240" w:lineRule="auto"/>
        <w:ind w:left="714" w:hanging="357"/>
        <w:rPr>
          <w:rFonts w:cs="Calibri"/>
        </w:rPr>
      </w:pPr>
      <w:r w:rsidRPr="0085443D">
        <w:rPr>
          <w:rFonts w:cs="Calibri"/>
        </w:rPr>
        <w:t>„ZZ Kooperativa“ Prnjavor,</w:t>
      </w:r>
    </w:p>
    <w:p w14:paraId="46B4C5A5" w14:textId="77777777" w:rsidR="00112985" w:rsidRPr="0085443D" w:rsidRDefault="00112985" w:rsidP="009901CE">
      <w:pPr>
        <w:pStyle w:val="ListParagraph"/>
        <w:widowControl w:val="0"/>
        <w:numPr>
          <w:ilvl w:val="0"/>
          <w:numId w:val="12"/>
        </w:numPr>
        <w:overflowPunct w:val="0"/>
        <w:autoSpaceDE w:val="0"/>
        <w:autoSpaceDN w:val="0"/>
        <w:adjustRightInd w:val="0"/>
        <w:spacing w:before="0" w:after="100" w:line="240" w:lineRule="auto"/>
        <w:ind w:left="714" w:hanging="357"/>
        <w:rPr>
          <w:rFonts w:cs="Calibri"/>
        </w:rPr>
      </w:pPr>
      <w:r w:rsidRPr="0085443D">
        <w:rPr>
          <w:rFonts w:cs="Calibri"/>
        </w:rPr>
        <w:t>„ZZ Delta Agrar“ Prnjavor</w:t>
      </w:r>
      <w:r w:rsidR="00474402" w:rsidRPr="0085443D">
        <w:rPr>
          <w:rFonts w:cs="Calibri"/>
        </w:rPr>
        <w:t>,</w:t>
      </w:r>
    </w:p>
    <w:p w14:paraId="200F1905" w14:textId="77777777" w:rsidR="00112985" w:rsidRPr="0085443D" w:rsidRDefault="00112985" w:rsidP="009901CE">
      <w:pPr>
        <w:pStyle w:val="ListParagraph"/>
        <w:widowControl w:val="0"/>
        <w:numPr>
          <w:ilvl w:val="0"/>
          <w:numId w:val="12"/>
        </w:numPr>
        <w:overflowPunct w:val="0"/>
        <w:autoSpaceDE w:val="0"/>
        <w:autoSpaceDN w:val="0"/>
        <w:adjustRightInd w:val="0"/>
        <w:spacing w:before="0" w:after="100" w:line="240" w:lineRule="auto"/>
        <w:ind w:left="714" w:hanging="357"/>
        <w:rPr>
          <w:rFonts w:cs="Calibri"/>
        </w:rPr>
      </w:pPr>
      <w:r w:rsidRPr="0085443D">
        <w:rPr>
          <w:rFonts w:cs="Calibri"/>
        </w:rPr>
        <w:t>„ZZ Novi Agrovrh“ Prnjavor</w:t>
      </w:r>
      <w:r w:rsidR="00474402" w:rsidRPr="0085443D">
        <w:rPr>
          <w:rFonts w:cs="Calibri"/>
        </w:rPr>
        <w:t>.</w:t>
      </w:r>
    </w:p>
    <w:p w14:paraId="7E3F92A1" w14:textId="6BBB3CC0" w:rsidR="00112985" w:rsidRPr="0085443D" w:rsidRDefault="00112985" w:rsidP="003765EA">
      <w:pPr>
        <w:widowControl w:val="0"/>
        <w:overflowPunct w:val="0"/>
        <w:autoSpaceDE w:val="0"/>
        <w:autoSpaceDN w:val="0"/>
        <w:adjustRightInd w:val="0"/>
        <w:spacing w:after="100"/>
        <w:jc w:val="both"/>
        <w:rPr>
          <w:rFonts w:cs="Calibri"/>
        </w:rPr>
      </w:pPr>
      <w:r w:rsidRPr="0085443D">
        <w:rPr>
          <w:rFonts w:cs="Calibri"/>
        </w:rPr>
        <w:t xml:space="preserve">Osnovna djelatnost ovih zadruga je trgovina i promet repromaterijala za sjetvu (mineralno đubrivo, sjemenski materijal, zaštitna sredstva), te prodaja </w:t>
      </w:r>
      <w:r w:rsidR="00474402" w:rsidRPr="0085443D">
        <w:rPr>
          <w:rFonts w:cs="Calibri"/>
        </w:rPr>
        <w:t>stočne hrane, sadnica voća i drugog</w:t>
      </w:r>
      <w:r w:rsidR="00636BEC">
        <w:rPr>
          <w:rFonts w:cs="Calibri"/>
        </w:rPr>
        <w:t>- S</w:t>
      </w:r>
      <w:r w:rsidR="00474402" w:rsidRPr="0085443D">
        <w:rPr>
          <w:rFonts w:cs="Calibri"/>
        </w:rPr>
        <w:t>avjetodavna podrška poljoprivrednicima i podrška kod plasmana proizvoda nisu u fokusu ZZ</w:t>
      </w:r>
      <w:r w:rsidR="00636BEC">
        <w:rPr>
          <w:rFonts w:cs="Calibri"/>
        </w:rPr>
        <w:t xml:space="preserve">, </w:t>
      </w:r>
      <w:r w:rsidR="00636BEC" w:rsidRPr="007673D8">
        <w:rPr>
          <w:rFonts w:cs="Calibri"/>
          <w:highlight w:val="cyan"/>
        </w:rPr>
        <w:t>što bi tre</w:t>
      </w:r>
      <w:r w:rsidR="007673D8" w:rsidRPr="007673D8">
        <w:rPr>
          <w:rFonts w:cs="Calibri"/>
          <w:highlight w:val="cyan"/>
        </w:rPr>
        <w:t>balo ojačati u narednom periodu,</w:t>
      </w:r>
      <w:r w:rsidR="00636BEC" w:rsidRPr="007673D8">
        <w:rPr>
          <w:rFonts w:cs="Calibri"/>
          <w:highlight w:val="cyan"/>
        </w:rPr>
        <w:t xml:space="preserve"> u pogledu savjetodavne podrške koja se odnosi na specifične materijale za sjetvu</w:t>
      </w:r>
      <w:r w:rsidR="005D2BBF" w:rsidRPr="007673D8">
        <w:rPr>
          <w:rFonts w:cs="Calibri"/>
          <w:highlight w:val="cyan"/>
        </w:rPr>
        <w:t xml:space="preserve"> kao i podršk</w:t>
      </w:r>
      <w:r w:rsidR="007673D8" w:rsidRPr="007673D8">
        <w:rPr>
          <w:rFonts w:cs="Calibri"/>
          <w:highlight w:val="cyan"/>
        </w:rPr>
        <w:t>e</w:t>
      </w:r>
      <w:r w:rsidR="005D2BBF" w:rsidRPr="007673D8">
        <w:rPr>
          <w:rFonts w:cs="Calibri"/>
          <w:highlight w:val="cyan"/>
        </w:rPr>
        <w:t xml:space="preserve"> kod plasmana proizvoda.</w:t>
      </w:r>
    </w:p>
    <w:p w14:paraId="67E92512" w14:textId="77777777" w:rsidR="00112985" w:rsidRPr="0085443D" w:rsidRDefault="00112985" w:rsidP="003765EA">
      <w:pPr>
        <w:spacing w:after="100"/>
        <w:jc w:val="both"/>
      </w:pPr>
      <w:r w:rsidRPr="0085443D">
        <w:rPr>
          <w:lang w:val="sr-Cyrl-BA"/>
        </w:rPr>
        <w:t>U sastavu Opštinske uprave opštine Prnjavor postoji i Odjeljenje za poljoprivredu, vodoprivredu i šumarstvo, koje pored</w:t>
      </w:r>
      <w:r w:rsidRPr="0085443D">
        <w:t xml:space="preserve"> </w:t>
      </w:r>
      <w:r w:rsidRPr="0085443D">
        <w:rPr>
          <w:lang w:val="sr-Cyrl-BA"/>
        </w:rPr>
        <w:t>obavljanja administrativnih poslova ima</w:t>
      </w:r>
      <w:r w:rsidRPr="0085443D">
        <w:t xml:space="preserve"> </w:t>
      </w:r>
      <w:r w:rsidRPr="0085443D">
        <w:rPr>
          <w:b/>
          <w:lang w:val="sr-Cyrl-BA"/>
        </w:rPr>
        <w:t>savjetodavnu i edukativnu ulogu</w:t>
      </w:r>
      <w:r w:rsidRPr="0085443D">
        <w:rPr>
          <w:lang w:val="sr-Cyrl-BA"/>
        </w:rPr>
        <w:t>, odnosno p</w:t>
      </w:r>
      <w:r w:rsidRPr="0085443D">
        <w:rPr>
          <w:color w:val="000000"/>
          <w:shd w:val="clear" w:color="auto" w:fill="FFFFFF"/>
        </w:rPr>
        <w:t>ruža struč</w:t>
      </w:r>
      <w:r w:rsidRPr="0085443D">
        <w:rPr>
          <w:color w:val="000000"/>
          <w:shd w:val="clear" w:color="auto" w:fill="FFFFFF"/>
          <w:lang w:val="sr-Cyrl-BA"/>
        </w:rPr>
        <w:t>n</w:t>
      </w:r>
      <w:r w:rsidRPr="0085443D">
        <w:rPr>
          <w:color w:val="000000"/>
          <w:shd w:val="clear" w:color="auto" w:fill="FFFFFF"/>
        </w:rPr>
        <w:t>e savjete poljoprivrednim proizvođačima</w:t>
      </w:r>
      <w:r w:rsidRPr="0085443D">
        <w:rPr>
          <w:color w:val="000000"/>
          <w:shd w:val="clear" w:color="auto" w:fill="FFFFFF"/>
          <w:lang w:val="sr-Cyrl-BA"/>
        </w:rPr>
        <w:t xml:space="preserve">, </w:t>
      </w:r>
      <w:r w:rsidRPr="0085443D">
        <w:rPr>
          <w:color w:val="000000"/>
          <w:shd w:val="clear" w:color="auto" w:fill="FFFFFF"/>
        </w:rPr>
        <w:t>organizuje predavanja, kurseve, odlaske na seminare, sajmove, izložbe i naučne skupove za poljoprivredne proizvođače</w:t>
      </w:r>
      <w:r w:rsidRPr="0085443D">
        <w:rPr>
          <w:lang w:val="sr-Cyrl-BA"/>
        </w:rPr>
        <w:t xml:space="preserve">. U </w:t>
      </w:r>
      <w:r w:rsidRPr="0085443D">
        <w:t>O</w:t>
      </w:r>
      <w:r w:rsidRPr="0085443D">
        <w:rPr>
          <w:lang w:val="sr-Cyrl-BA"/>
        </w:rPr>
        <w:t>djeljenju su zaposlena četiri</w:t>
      </w:r>
      <w:r w:rsidRPr="0085443D">
        <w:t xml:space="preserve"> </w:t>
      </w:r>
      <w:r w:rsidRPr="0085443D">
        <w:rPr>
          <w:lang w:val="sr-Cyrl-BA"/>
        </w:rPr>
        <w:t>diplomirana inž</w:t>
      </w:r>
      <w:r w:rsidRPr="0085443D">
        <w:t>e</w:t>
      </w:r>
      <w:r w:rsidRPr="0085443D">
        <w:rPr>
          <w:lang w:val="sr-Cyrl-BA"/>
        </w:rPr>
        <w:t>njera poljoprivrede.</w:t>
      </w:r>
    </w:p>
    <w:p w14:paraId="764003AB" w14:textId="63553AAC" w:rsidR="00112985" w:rsidRPr="007673D8" w:rsidRDefault="00112985" w:rsidP="003765EA">
      <w:pPr>
        <w:spacing w:after="100"/>
        <w:jc w:val="both"/>
      </w:pPr>
      <w:r w:rsidRPr="0085443D">
        <w:rPr>
          <w:lang w:val="sr-Cyrl-BA"/>
        </w:rPr>
        <w:t xml:space="preserve">Prema evidenciji Odjeljenja za poljoprivredu, vodoprivredu i šumarstvo Opštinske uprave opštine Prnjavor na teritoriji opštine postoje četiri </w:t>
      </w:r>
      <w:r w:rsidRPr="0085443D">
        <w:rPr>
          <w:b/>
          <w:lang w:val="sr-Cyrl-BA"/>
        </w:rPr>
        <w:t>hladnjače</w:t>
      </w:r>
      <w:r w:rsidR="00474402" w:rsidRPr="0085443D">
        <w:rPr>
          <w:lang w:val="sr-Cyrl-BA"/>
        </w:rPr>
        <w:t xml:space="preserve"> za voće i to</w:t>
      </w:r>
      <w:r w:rsidR="007673D8">
        <w:t xml:space="preserve"> </w:t>
      </w:r>
      <w:r w:rsidR="007673D8" w:rsidRPr="007673D8">
        <w:rPr>
          <w:highlight w:val="cyan"/>
          <w:lang w:val="bs-Latn-BA"/>
        </w:rPr>
        <w:t>tri kapaciteta od 20 do 40 tona i jedna kapaciteta do 700 tona.</w:t>
      </w:r>
      <w:r w:rsidR="007673D8">
        <w:rPr>
          <w:lang w:val="bs-Latn-BA"/>
        </w:rPr>
        <w:t xml:space="preserve"> </w:t>
      </w:r>
    </w:p>
    <w:p w14:paraId="75C15859" w14:textId="0B8CFD7E" w:rsidR="00112985" w:rsidRPr="0085443D" w:rsidRDefault="00112985" w:rsidP="00CC126A">
      <w:pPr>
        <w:widowControl w:val="0"/>
        <w:overflowPunct w:val="0"/>
        <w:autoSpaceDE w:val="0"/>
        <w:autoSpaceDN w:val="0"/>
        <w:adjustRightInd w:val="0"/>
        <w:spacing w:after="100"/>
        <w:jc w:val="both"/>
        <w:rPr>
          <w:rFonts w:cs="Calibri"/>
          <w:lang w:val="en-US"/>
        </w:rPr>
      </w:pPr>
      <w:r w:rsidRPr="0085443D">
        <w:rPr>
          <w:lang w:val="sr-Cyrl-BA"/>
        </w:rPr>
        <w:t xml:space="preserve">Prema evidenciji Odjeljenja za poljoprivredu, vodoprivredu i šumarstvo Opštinske uprave opštine Prnjavor na teritoriji opštine postoji </w:t>
      </w:r>
      <w:r w:rsidRPr="0085443D">
        <w:rPr>
          <w:b/>
          <w:lang w:val="sr-Cyrl-BA"/>
        </w:rPr>
        <w:t>jedna sušara</w:t>
      </w:r>
      <w:r w:rsidRPr="0085443D">
        <w:rPr>
          <w:lang w:val="sr-Cyrl-BA"/>
        </w:rPr>
        <w:t xml:space="preserve"> za voće na </w:t>
      </w:r>
      <w:r w:rsidR="005D2BBF" w:rsidRPr="00846BB2">
        <w:rPr>
          <w:highlight w:val="cyan"/>
          <w:lang w:val="bs-Latn-BA"/>
        </w:rPr>
        <w:t>privatnom</w:t>
      </w:r>
      <w:r w:rsidR="005D2BBF">
        <w:rPr>
          <w:lang w:val="bs-Latn-BA"/>
        </w:rPr>
        <w:t xml:space="preserve"> </w:t>
      </w:r>
      <w:r w:rsidRPr="0085443D">
        <w:rPr>
          <w:lang w:val="sr-Cyrl-BA"/>
        </w:rPr>
        <w:t xml:space="preserve">poljoprivrednom gazdinstu kapaciteta 300 </w:t>
      </w:r>
      <w:r w:rsidRPr="0085443D">
        <w:rPr>
          <w:lang w:val="sr-Cyrl-BA"/>
        </w:rPr>
        <w:lastRenderedPageBreak/>
        <w:t>kilograma.</w:t>
      </w:r>
    </w:p>
    <w:p w14:paraId="1567526F" w14:textId="31A73ADD" w:rsidR="00112985" w:rsidRDefault="00112985" w:rsidP="003765EA">
      <w:pPr>
        <w:spacing w:after="100"/>
        <w:jc w:val="both"/>
        <w:rPr>
          <w:lang w:val="sr-Cyrl-BA"/>
        </w:rPr>
      </w:pPr>
      <w:r w:rsidRPr="0085443D">
        <w:rPr>
          <w:lang w:val="sr-Cyrl-BA"/>
        </w:rPr>
        <w:t xml:space="preserve">Na području opštine Prnjavor registrovana je </w:t>
      </w:r>
      <w:r w:rsidRPr="0085443D">
        <w:rPr>
          <w:b/>
          <w:lang w:val="sr-Cyrl-BA"/>
        </w:rPr>
        <w:t>mini sirana</w:t>
      </w:r>
      <w:r w:rsidRPr="0085443D">
        <w:rPr>
          <w:lang w:val="sr-Cyrl-BA"/>
        </w:rPr>
        <w:t xml:space="preserve"> „Sirana Milanković“, koja se nalazi u Donjim Palačkovcima. Sirana trenutno prerađuje 300 litara mlijeka dnevno, a kapacitet prerade sirane je i do nekoliko hiljada litara mlijeka dnevno.</w:t>
      </w:r>
      <w:r w:rsidR="00846BB2">
        <w:t xml:space="preserve"> </w:t>
      </w:r>
      <w:r w:rsidRPr="0085443D">
        <w:rPr>
          <w:lang w:val="sr-Cyrl-BA"/>
        </w:rPr>
        <w:t xml:space="preserve">U sirani se trenutno prerađuje kravlje mlijeko, a u toku godine </w:t>
      </w:r>
      <w:r w:rsidR="00CC126A" w:rsidRPr="0085443D">
        <w:t>počeće</w:t>
      </w:r>
      <w:r w:rsidRPr="0085443D">
        <w:rPr>
          <w:lang w:val="sr-Cyrl-BA"/>
        </w:rPr>
        <w:t xml:space="preserve"> prerad</w:t>
      </w:r>
      <w:r w:rsidR="00CC126A" w:rsidRPr="0085443D">
        <w:t>a</w:t>
      </w:r>
      <w:r w:rsidRPr="0085443D">
        <w:rPr>
          <w:lang w:val="sr-Cyrl-BA"/>
        </w:rPr>
        <w:t xml:space="preserve"> i kozijeg mlijeka. Sirana trenutno proizvodi: pet vrsta sireva, dvije vrste kajmaka i jedan namaz.</w:t>
      </w:r>
    </w:p>
    <w:p w14:paraId="1D482E55" w14:textId="77777777" w:rsidR="00846BB2" w:rsidRPr="00846BB2" w:rsidRDefault="00846BB2" w:rsidP="00846BB2">
      <w:pPr>
        <w:spacing w:after="100"/>
        <w:jc w:val="both"/>
        <w:rPr>
          <w:rFonts w:cs="Calibri"/>
        </w:rPr>
      </w:pPr>
      <w:r w:rsidRPr="0085443D">
        <w:rPr>
          <w:lang w:val="sr-Cyrl-BA"/>
        </w:rPr>
        <w:t>Na terit</w:t>
      </w:r>
      <w:r w:rsidRPr="0085443D">
        <w:t>o</w:t>
      </w:r>
      <w:r w:rsidRPr="0085443D">
        <w:rPr>
          <w:lang w:val="sr-Cyrl-BA"/>
        </w:rPr>
        <w:t>riji opštine Prnjavor trenutno rade tri poljoprivredna preduzeća koja se bave otkupom i sušenjem kukuruza i pšenice</w:t>
      </w:r>
      <w:r>
        <w:t>.</w:t>
      </w:r>
    </w:p>
    <w:p w14:paraId="37D228CB" w14:textId="101F1513" w:rsidR="00A107C8" w:rsidRPr="00A638E6" w:rsidRDefault="00A107C8" w:rsidP="003765EA">
      <w:pPr>
        <w:spacing w:after="100"/>
        <w:jc w:val="both"/>
        <w:rPr>
          <w:lang w:val="bs-Latn-BA"/>
        </w:rPr>
      </w:pPr>
      <w:r w:rsidRPr="00846BB2">
        <w:rPr>
          <w:highlight w:val="cyan"/>
          <w:lang w:val="bs-Latn-BA"/>
        </w:rPr>
        <w:t xml:space="preserve">Kada je riječ o otkupu poljoprivrednih proizvoda, osim 3 poljoprivredna preduzeća koje se bave otkupom kukuruza i pšenice, kapacitet za otkup i plasman ostalih poljoprivrednih kultura je </w:t>
      </w:r>
      <w:r w:rsidR="00846BB2" w:rsidRPr="00846BB2">
        <w:rPr>
          <w:highlight w:val="cyan"/>
          <w:lang w:val="bs-Latn-BA"/>
        </w:rPr>
        <w:t>ograničen, kao i podrška poljoprivrednicima u plasmanu proizvoda, što može biti u fokusu pojedinih projekata u skladu sa raspoloživošću sredstava</w:t>
      </w:r>
      <w:r w:rsidRPr="00846BB2">
        <w:rPr>
          <w:highlight w:val="cyan"/>
          <w:lang w:val="bs-Latn-BA"/>
        </w:rPr>
        <w:t>.</w:t>
      </w:r>
    </w:p>
    <w:p w14:paraId="74834EA2" w14:textId="01EA1DB8" w:rsidR="00112985" w:rsidRDefault="00112985" w:rsidP="003765EA">
      <w:pPr>
        <w:spacing w:after="100"/>
        <w:jc w:val="both"/>
        <w:rPr>
          <w:lang w:val="bs-Latn-BA"/>
        </w:rPr>
      </w:pPr>
      <w:r w:rsidRPr="0085443D">
        <w:rPr>
          <w:lang w:val="sr-Cyrl-BA"/>
        </w:rPr>
        <w:t>Opština Prnjavor je među vodećim opštinama u Republici Srpskoj po količinama proizvedenog mlijeka u toku godine. Mlijeko koje se proizvede na području opštine Prnjavor trenutno se predaje</w:t>
      </w:r>
      <w:r w:rsidRPr="0085443D">
        <w:t xml:space="preserve"> </w:t>
      </w:r>
      <w:r w:rsidRPr="0085443D">
        <w:rPr>
          <w:lang w:val="sr-Cyrl-BA"/>
        </w:rPr>
        <w:t>mljekari „Mlijekoprodukt“ iz Kozarske Dubice i mljekari</w:t>
      </w:r>
      <w:r w:rsidRPr="0085443D">
        <w:t xml:space="preserve"> </w:t>
      </w:r>
      <w:r w:rsidRPr="0085443D">
        <w:rPr>
          <w:lang w:val="sr-Cyrl-BA"/>
        </w:rPr>
        <w:t>„I</w:t>
      </w:r>
      <w:r w:rsidRPr="0085443D">
        <w:t>n</w:t>
      </w:r>
      <w:r w:rsidRPr="0085443D">
        <w:rPr>
          <w:lang w:val="sr-Cyrl-BA"/>
        </w:rPr>
        <w:t>mer“ iz Gradačca.</w:t>
      </w:r>
      <w:r w:rsidRPr="0085443D">
        <w:t xml:space="preserve"> </w:t>
      </w:r>
      <w:r w:rsidRPr="0085443D">
        <w:rPr>
          <w:lang w:val="sr-Cyrl-BA"/>
        </w:rPr>
        <w:t>Za mljekaru „Mlijekoprodukt“ iz Kozarske Dubice od farmera mlijeko sakuplja devet sakupljača mlijeka, a za mljekaru „I</w:t>
      </w:r>
      <w:r w:rsidR="00ED0423" w:rsidRPr="0085443D">
        <w:t>n</w:t>
      </w:r>
      <w:r w:rsidRPr="0085443D">
        <w:rPr>
          <w:lang w:val="sr-Cyrl-BA"/>
        </w:rPr>
        <w:t xml:space="preserve">mer“ iz Gradačca mlijeko od farmera sakupljaju dva sakupljača mlijeka. U 2016. godini sa područja opštine Prnjavor od farmera je otkupljeno oko 7.600.000 litara mlijeka i </w:t>
      </w:r>
      <w:r w:rsidRPr="00846BB2">
        <w:rPr>
          <w:highlight w:val="cyan"/>
          <w:lang w:val="sr-Cyrl-BA"/>
        </w:rPr>
        <w:t>predano mljekar</w:t>
      </w:r>
      <w:r w:rsidR="00846BB2" w:rsidRPr="00846BB2">
        <w:rPr>
          <w:highlight w:val="cyan"/>
        </w:rPr>
        <w:t>ama</w:t>
      </w:r>
      <w:r w:rsidRPr="0085443D">
        <w:rPr>
          <w:lang w:val="sr-Cyrl-BA"/>
        </w:rPr>
        <w:t>. Određeni broj poljoprivrednih proizvođača ne predaje mlijeko mljekarama</w:t>
      </w:r>
      <w:r w:rsidR="00CC126A" w:rsidRPr="0085443D">
        <w:t>,</w:t>
      </w:r>
      <w:r w:rsidRPr="0085443D">
        <w:rPr>
          <w:lang w:val="sr-Cyrl-BA"/>
        </w:rPr>
        <w:t xml:space="preserve"> već ga koristi za pravljenje sireva, kajmaka i drugih proizvoda</w:t>
      </w:r>
      <w:r w:rsidR="00A107C8">
        <w:rPr>
          <w:lang w:val="bs-Latn-BA"/>
        </w:rPr>
        <w:t xml:space="preserve"> </w:t>
      </w:r>
      <w:r w:rsidR="00A107C8" w:rsidRPr="00846BB2">
        <w:rPr>
          <w:highlight w:val="cyan"/>
          <w:lang w:val="bs-Latn-BA"/>
        </w:rPr>
        <w:t>(za vlastitu upotrebu i prodaju viškova putem domaće pijace)</w:t>
      </w:r>
      <w:r w:rsidRPr="0085443D">
        <w:rPr>
          <w:lang w:val="sr-Cyrl-BA"/>
        </w:rPr>
        <w:t xml:space="preserve">. Prema procjeni </w:t>
      </w:r>
      <w:r w:rsidR="00CC126A" w:rsidRPr="0085443D">
        <w:t>O</w:t>
      </w:r>
      <w:r w:rsidRPr="0085443D">
        <w:rPr>
          <w:lang w:val="sr-Cyrl-BA"/>
        </w:rPr>
        <w:t>djeljenja godišnja proizvodnja mlijeka na području opštine Prnjavor je oko 10.000.000 litara</w:t>
      </w:r>
      <w:r w:rsidR="00A107C8">
        <w:rPr>
          <w:lang w:val="bs-Latn-BA"/>
        </w:rPr>
        <w:t xml:space="preserve">, </w:t>
      </w:r>
      <w:r w:rsidR="00A107C8" w:rsidRPr="006B3AA3">
        <w:rPr>
          <w:highlight w:val="cyan"/>
          <w:lang w:val="bs-Latn-BA"/>
        </w:rPr>
        <w:t xml:space="preserve">što je </w:t>
      </w:r>
      <w:r w:rsidR="006B3AA3">
        <w:rPr>
          <w:highlight w:val="cyan"/>
          <w:lang w:val="bs-Latn-BA"/>
        </w:rPr>
        <w:t>u skladu sa</w:t>
      </w:r>
      <w:r w:rsidR="006B3AA3" w:rsidRPr="006B3AA3">
        <w:rPr>
          <w:highlight w:val="cyan"/>
          <w:lang w:val="bs-Latn-BA"/>
        </w:rPr>
        <w:t xml:space="preserve"> trenutn</w:t>
      </w:r>
      <w:r w:rsidR="006B3AA3">
        <w:rPr>
          <w:highlight w:val="cyan"/>
          <w:lang w:val="bs-Latn-BA"/>
        </w:rPr>
        <w:t>om</w:t>
      </w:r>
      <w:r w:rsidR="006B3AA3" w:rsidRPr="006B3AA3">
        <w:rPr>
          <w:highlight w:val="cyan"/>
          <w:lang w:val="bs-Latn-BA"/>
        </w:rPr>
        <w:t xml:space="preserve"> tražnj</w:t>
      </w:r>
      <w:r w:rsidR="006B3AA3">
        <w:rPr>
          <w:highlight w:val="cyan"/>
          <w:lang w:val="bs-Latn-BA"/>
        </w:rPr>
        <w:t>om</w:t>
      </w:r>
      <w:r w:rsidR="006B3AA3" w:rsidRPr="006B3AA3">
        <w:rPr>
          <w:highlight w:val="cyan"/>
          <w:lang w:val="bs-Latn-BA"/>
        </w:rPr>
        <w:t xml:space="preserve"> na tržištu, dok bi u slučaju povećanja tražnje bilo moguće određeno povećanje</w:t>
      </w:r>
      <w:r w:rsidR="00701536" w:rsidRPr="006B3AA3">
        <w:rPr>
          <w:highlight w:val="cyan"/>
          <w:lang w:val="bs-Latn-BA"/>
        </w:rPr>
        <w:t xml:space="preserve"> proizvodnih </w:t>
      </w:r>
      <w:r w:rsidR="00A107C8" w:rsidRPr="006B3AA3">
        <w:rPr>
          <w:highlight w:val="cyan"/>
          <w:lang w:val="bs-Latn-BA"/>
        </w:rPr>
        <w:t xml:space="preserve">kapaciteta </w:t>
      </w:r>
      <w:r w:rsidR="00701536" w:rsidRPr="006B3AA3">
        <w:rPr>
          <w:highlight w:val="cyan"/>
          <w:lang w:val="bs-Latn-BA"/>
        </w:rPr>
        <w:t>na području op</w:t>
      </w:r>
      <w:r w:rsidR="006B3AA3" w:rsidRPr="006B3AA3">
        <w:rPr>
          <w:highlight w:val="cyan"/>
          <w:lang w:val="bs-Latn-BA"/>
        </w:rPr>
        <w:t>št</w:t>
      </w:r>
      <w:r w:rsidR="00701536" w:rsidRPr="006B3AA3">
        <w:rPr>
          <w:highlight w:val="cyan"/>
          <w:lang w:val="bs-Latn-BA"/>
        </w:rPr>
        <w:t>ine, posmatrano iz perspektive dostupnih prirodnih i drugih resur</w:t>
      </w:r>
      <w:r w:rsidR="006B3AA3" w:rsidRPr="006B3AA3">
        <w:rPr>
          <w:highlight w:val="cyan"/>
          <w:lang w:val="bs-Latn-BA"/>
        </w:rPr>
        <w:t>s</w:t>
      </w:r>
      <w:r w:rsidR="00701536" w:rsidRPr="006B3AA3">
        <w:rPr>
          <w:highlight w:val="cyan"/>
          <w:lang w:val="bs-Latn-BA"/>
        </w:rPr>
        <w:t>a.</w:t>
      </w:r>
    </w:p>
    <w:p w14:paraId="0D82BEB0" w14:textId="3AFFF803" w:rsidR="006B3AA3" w:rsidRPr="00A638E6" w:rsidRDefault="006B3AA3" w:rsidP="003765EA">
      <w:pPr>
        <w:spacing w:after="100"/>
        <w:jc w:val="both"/>
        <w:rPr>
          <w:lang w:val="bs-Latn-BA"/>
        </w:rPr>
      </w:pPr>
      <w:r w:rsidRPr="00A54F93">
        <w:rPr>
          <w:highlight w:val="cyan"/>
        </w:rPr>
        <w:t xml:space="preserve">U pogledu farmi goveđih muznih krava dominiraju farme </w:t>
      </w:r>
      <w:r w:rsidR="00A54F93" w:rsidRPr="00A54F93">
        <w:rPr>
          <w:highlight w:val="cyan"/>
        </w:rPr>
        <w:t xml:space="preserve">koje imaju </w:t>
      </w:r>
      <w:r w:rsidRPr="00A54F93">
        <w:rPr>
          <w:highlight w:val="cyan"/>
        </w:rPr>
        <w:t>do 6 grla (oko 100 farmi) dok je oko 70 farmi koje imaju od 7 do 10 grla. U pogledu većih farmi</w:t>
      </w:r>
      <w:r w:rsidR="00A54F93" w:rsidRPr="00A54F93">
        <w:rPr>
          <w:highlight w:val="cyan"/>
        </w:rPr>
        <w:t>,</w:t>
      </w:r>
      <w:r w:rsidRPr="00A54F93">
        <w:rPr>
          <w:highlight w:val="cyan"/>
        </w:rPr>
        <w:t xml:space="preserve"> 26 farmi</w:t>
      </w:r>
      <w:r w:rsidR="00A54F93" w:rsidRPr="00A54F93">
        <w:rPr>
          <w:highlight w:val="cyan"/>
        </w:rPr>
        <w:t xml:space="preserve"> ima do 20 grla</w:t>
      </w:r>
      <w:r w:rsidRPr="00A54F93">
        <w:rPr>
          <w:highlight w:val="cyan"/>
        </w:rPr>
        <w:t xml:space="preserve">, </w:t>
      </w:r>
      <w:r w:rsidR="00A54F93" w:rsidRPr="00A54F93">
        <w:rPr>
          <w:highlight w:val="cyan"/>
        </w:rPr>
        <w:t>dok je 10</w:t>
      </w:r>
      <w:r w:rsidRPr="00A54F93">
        <w:rPr>
          <w:highlight w:val="cyan"/>
        </w:rPr>
        <w:t xml:space="preserve"> farmi s</w:t>
      </w:r>
      <w:r w:rsidR="00A54F93" w:rsidRPr="00A54F93">
        <w:rPr>
          <w:highlight w:val="cyan"/>
        </w:rPr>
        <w:t>a preko 20 grla. Kako bi se povećao broj farmi sa većim brojem grla</w:t>
      </w:r>
      <w:r w:rsidRPr="00A54F93">
        <w:rPr>
          <w:highlight w:val="cyan"/>
        </w:rPr>
        <w:t>, u narednom periodu implement</w:t>
      </w:r>
      <w:r w:rsidR="00A54F93" w:rsidRPr="00A54F93">
        <w:rPr>
          <w:highlight w:val="cyan"/>
        </w:rPr>
        <w:t>acije strategije fo</w:t>
      </w:r>
      <w:r w:rsidRPr="00A54F93">
        <w:rPr>
          <w:highlight w:val="cyan"/>
        </w:rPr>
        <w:t xml:space="preserve">kus </w:t>
      </w:r>
      <w:r w:rsidR="00A54F93">
        <w:rPr>
          <w:highlight w:val="cyan"/>
        </w:rPr>
        <w:t xml:space="preserve">treba da bude </w:t>
      </w:r>
      <w:r w:rsidRPr="00A54F93">
        <w:rPr>
          <w:highlight w:val="cyan"/>
        </w:rPr>
        <w:t xml:space="preserve">na </w:t>
      </w:r>
      <w:r w:rsidR="00A54F93" w:rsidRPr="00A54F93">
        <w:rPr>
          <w:highlight w:val="cyan"/>
        </w:rPr>
        <w:t>poveća</w:t>
      </w:r>
      <w:r w:rsidR="00A54F93">
        <w:rPr>
          <w:highlight w:val="cyan"/>
        </w:rPr>
        <w:t>nju</w:t>
      </w:r>
      <w:r w:rsidR="00A54F93" w:rsidRPr="00A54F93">
        <w:rPr>
          <w:highlight w:val="cyan"/>
        </w:rPr>
        <w:t xml:space="preserve"> tržišne orijentacije u poljoprivredi, što </w:t>
      </w:r>
      <w:r w:rsidR="00A54F93">
        <w:rPr>
          <w:highlight w:val="cyan"/>
        </w:rPr>
        <w:t>je moguće</w:t>
      </w:r>
      <w:r w:rsidR="00A54F93" w:rsidRPr="00A54F93">
        <w:rPr>
          <w:highlight w:val="cyan"/>
        </w:rPr>
        <w:t xml:space="preserve"> podržati prilagođenim programima subvencija i savjetodavne podrške</w:t>
      </w:r>
      <w:r w:rsidRPr="00A54F93">
        <w:rPr>
          <w:highlight w:val="cyan"/>
        </w:rPr>
        <w:t>.</w:t>
      </w:r>
    </w:p>
    <w:p w14:paraId="64386B53" w14:textId="126899AF" w:rsidR="00112985" w:rsidRPr="004339F8" w:rsidRDefault="00112985" w:rsidP="00112985">
      <w:pPr>
        <w:jc w:val="both"/>
        <w:rPr>
          <w:highlight w:val="cyan"/>
          <w:lang w:val="bs-Latn-BA"/>
        </w:rPr>
      </w:pPr>
      <w:r w:rsidRPr="0085443D">
        <w:rPr>
          <w:lang w:val="sr-Cyrl-BA"/>
        </w:rPr>
        <w:t xml:space="preserve">Podaci o stočnom fondu na području opštine, na dan 31.12.2016. godine, </w:t>
      </w:r>
      <w:r w:rsidR="00976B73">
        <w:rPr>
          <w:lang w:val="bs-Latn-BA"/>
        </w:rPr>
        <w:t>s</w:t>
      </w:r>
      <w:r w:rsidRPr="0085443D">
        <w:rPr>
          <w:lang w:val="sr-Cyrl-BA"/>
        </w:rPr>
        <w:t xml:space="preserve">u sljedeći: 15.050 goveda, 31.370 svinja, 10.720 </w:t>
      </w:r>
      <w:r w:rsidRPr="0085443D">
        <w:t>ovaca</w:t>
      </w:r>
      <w:r w:rsidRPr="0085443D">
        <w:rPr>
          <w:lang w:val="sr-Cyrl-BA"/>
        </w:rPr>
        <w:t xml:space="preserve">, 665 </w:t>
      </w:r>
      <w:r w:rsidRPr="0085443D">
        <w:t>koza</w:t>
      </w:r>
      <w:r w:rsidRPr="0085443D">
        <w:rPr>
          <w:lang w:val="sr-Cyrl-BA"/>
        </w:rPr>
        <w:t xml:space="preserve">, 655 </w:t>
      </w:r>
      <w:r w:rsidRPr="0085443D">
        <w:t>konja</w:t>
      </w:r>
      <w:r w:rsidRPr="0085443D">
        <w:rPr>
          <w:lang w:val="sr-Cyrl-BA"/>
        </w:rPr>
        <w:t>, 2</w:t>
      </w:r>
      <w:r w:rsidRPr="0085443D">
        <w:t>.</w:t>
      </w:r>
      <w:r w:rsidRPr="0085443D">
        <w:rPr>
          <w:lang w:val="sr-Cyrl-BA"/>
        </w:rPr>
        <w:t>043</w:t>
      </w:r>
      <w:r w:rsidRPr="0085443D">
        <w:t>.</w:t>
      </w:r>
      <w:r w:rsidRPr="0085443D">
        <w:rPr>
          <w:lang w:val="sr-Cyrl-BA"/>
        </w:rPr>
        <w:t xml:space="preserve">210 </w:t>
      </w:r>
      <w:r w:rsidRPr="0085443D">
        <w:t>živine</w:t>
      </w:r>
      <w:r w:rsidRPr="0085443D">
        <w:rPr>
          <w:lang w:val="sr-Cyrl-BA"/>
        </w:rPr>
        <w:t xml:space="preserve">. </w:t>
      </w:r>
      <w:r w:rsidR="006B4169" w:rsidRPr="006B4169">
        <w:rPr>
          <w:highlight w:val="cyan"/>
          <w:lang w:val="bs-Latn-BA"/>
        </w:rPr>
        <w:t>U odnosu na prethodne godine primjetno je povećanje kod ovaca i koza te smanjenje kod goveda, svinja, konja i živine, uglavnom usljed nepovoljnih prilika na tržištu u smislu ponude i potražnje mesa i mlijeka</w:t>
      </w:r>
      <w:r w:rsidR="00584F70" w:rsidRPr="006B4169">
        <w:rPr>
          <w:highlight w:val="cyan"/>
          <w:lang w:val="bs-Latn-BA"/>
        </w:rPr>
        <w:t>.</w:t>
      </w:r>
      <w:r w:rsidR="00584F70" w:rsidRPr="006B4169">
        <w:rPr>
          <w:lang w:val="bs-Latn-BA"/>
        </w:rPr>
        <w:t xml:space="preserve"> </w:t>
      </w:r>
      <w:r w:rsidRPr="0085443D">
        <w:rPr>
          <w:lang w:val="sr-Cyrl-BA"/>
        </w:rPr>
        <w:t>Takođe, na području opštine je 4.500 košnica, a proizvodnja meda je 22.500 kg</w:t>
      </w:r>
      <w:r w:rsidR="00584F70">
        <w:rPr>
          <w:lang w:val="bs-Latn-BA"/>
        </w:rPr>
        <w:t xml:space="preserve">, </w:t>
      </w:r>
      <w:r w:rsidR="004339F8" w:rsidRPr="004339F8">
        <w:rPr>
          <w:highlight w:val="cyan"/>
          <w:lang w:val="bs-Latn-BA"/>
        </w:rPr>
        <w:t>što je ispod mogućnosti proizvodnje na ovom području</w:t>
      </w:r>
      <w:r w:rsidR="00584F70" w:rsidRPr="004339F8">
        <w:rPr>
          <w:highlight w:val="cyan"/>
          <w:lang w:val="bs-Latn-BA"/>
        </w:rPr>
        <w:t>.</w:t>
      </w:r>
    </w:p>
    <w:p w14:paraId="637A4B62" w14:textId="77777777" w:rsidR="00112985" w:rsidRPr="0085443D" w:rsidRDefault="0095623A" w:rsidP="00112985">
      <w:pPr>
        <w:jc w:val="both"/>
        <w:rPr>
          <w:lang w:val="sr-Cyrl-BA"/>
        </w:rPr>
      </w:pPr>
      <w:r w:rsidRPr="0085443D">
        <w:t>Preduzeće Ribnjak AD Prnjavor upravlja ribnjakom površine 638 ha i ima proizvodnju od oko 750 tona godišnje, od čega je 500 tona konzumne ribe, a ostatak čini proizvodnja riblje mlađi.</w:t>
      </w:r>
      <w:r w:rsidRPr="0085443D">
        <w:rPr>
          <w:rStyle w:val="FootnoteReference"/>
        </w:rPr>
        <w:footnoteReference w:id="9"/>
      </w:r>
    </w:p>
    <w:p w14:paraId="65AACE95" w14:textId="77777777" w:rsidR="00112985" w:rsidRPr="0085443D" w:rsidRDefault="00112985" w:rsidP="00112985">
      <w:pPr>
        <w:jc w:val="both"/>
      </w:pPr>
      <w:r w:rsidRPr="0085443D">
        <w:rPr>
          <w:lang w:val="sr-Cyrl-BA"/>
        </w:rPr>
        <w:t>Pregled zasađenih površina i ostvarenih prinosa ratarskih kultura na području opštine Prnjavor u 2016. godini</w:t>
      </w:r>
      <w:r w:rsidRPr="0085443D">
        <w:t xml:space="preserve"> je dat u sljedećoj tabeli:</w:t>
      </w:r>
    </w:p>
    <w:tbl>
      <w:tblPr>
        <w:tblStyle w:val="GridTable5Dark-Accent5"/>
        <w:tblW w:w="9606" w:type="dxa"/>
        <w:tblLayout w:type="fixed"/>
        <w:tblLook w:val="04A0" w:firstRow="1" w:lastRow="0" w:firstColumn="1" w:lastColumn="0" w:noHBand="0" w:noVBand="1"/>
      </w:tblPr>
      <w:tblGrid>
        <w:gridCol w:w="675"/>
        <w:gridCol w:w="3080"/>
        <w:gridCol w:w="2116"/>
        <w:gridCol w:w="2261"/>
        <w:gridCol w:w="1474"/>
      </w:tblGrid>
      <w:tr w:rsidR="00112985" w:rsidRPr="0085443D" w14:paraId="0639EFF3" w14:textId="77777777" w:rsidTr="00797BD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5" w:type="dxa"/>
            <w:vMerge w:val="restart"/>
            <w:hideMark/>
          </w:tcPr>
          <w:p w14:paraId="64C41E1E" w14:textId="77777777" w:rsidR="00112985" w:rsidRPr="0085443D" w:rsidRDefault="00112985" w:rsidP="00797BD6">
            <w:pPr>
              <w:jc w:val="center"/>
              <w:rPr>
                <w:color w:val="000000"/>
                <w:lang w:val="sr-Cyrl-BA"/>
              </w:rPr>
            </w:pPr>
            <w:r w:rsidRPr="0085443D">
              <w:rPr>
                <w:color w:val="000000"/>
              </w:rPr>
              <w:t>Red</w:t>
            </w:r>
            <w:r w:rsidRPr="0085443D">
              <w:rPr>
                <w:color w:val="000000"/>
                <w:lang w:val="sr-Cyrl-BA"/>
              </w:rPr>
              <w:t xml:space="preserve">. </w:t>
            </w:r>
            <w:r w:rsidRPr="0085443D">
              <w:rPr>
                <w:color w:val="000000"/>
              </w:rPr>
              <w:t>br</w:t>
            </w:r>
            <w:r w:rsidRPr="0085443D">
              <w:rPr>
                <w:color w:val="000000"/>
                <w:lang w:val="sr-Cyrl-BA"/>
              </w:rPr>
              <w:t>.</w:t>
            </w:r>
          </w:p>
        </w:tc>
        <w:tc>
          <w:tcPr>
            <w:tcW w:w="3080" w:type="dxa"/>
            <w:vMerge w:val="restart"/>
            <w:noWrap/>
            <w:hideMark/>
          </w:tcPr>
          <w:p w14:paraId="52C445A1" w14:textId="77777777" w:rsidR="00112985" w:rsidRPr="0085443D" w:rsidRDefault="00112985" w:rsidP="00797BD6">
            <w:pPr>
              <w:jc w:val="center"/>
              <w:cnfStyle w:val="100000000000" w:firstRow="1" w:lastRow="0" w:firstColumn="0" w:lastColumn="0" w:oddVBand="0" w:evenVBand="0" w:oddHBand="0" w:evenHBand="0" w:firstRowFirstColumn="0" w:firstRowLastColumn="0" w:lastRowFirstColumn="0" w:lastRowLastColumn="0"/>
              <w:rPr>
                <w:color w:val="000000"/>
              </w:rPr>
            </w:pPr>
            <w:r w:rsidRPr="0085443D">
              <w:rPr>
                <w:color w:val="000000"/>
              </w:rPr>
              <w:t>Vrsta</w:t>
            </w:r>
            <w:r w:rsidRPr="0085443D">
              <w:rPr>
                <w:color w:val="000000"/>
                <w:lang w:val="sr-Cyrl-BA"/>
              </w:rPr>
              <w:t xml:space="preserve"> </w:t>
            </w:r>
            <w:r w:rsidRPr="0085443D">
              <w:rPr>
                <w:color w:val="000000"/>
              </w:rPr>
              <w:t>usjeva</w:t>
            </w:r>
          </w:p>
        </w:tc>
        <w:tc>
          <w:tcPr>
            <w:tcW w:w="2116" w:type="dxa"/>
            <w:vMerge w:val="restart"/>
            <w:hideMark/>
          </w:tcPr>
          <w:p w14:paraId="4EB01E6F" w14:textId="77777777" w:rsidR="00112985" w:rsidRPr="0085443D" w:rsidRDefault="00112985" w:rsidP="00797BD6">
            <w:pPr>
              <w:jc w:val="center"/>
              <w:cnfStyle w:val="100000000000" w:firstRow="1" w:lastRow="0" w:firstColumn="0" w:lastColumn="0" w:oddVBand="0" w:evenVBand="0" w:oddHBand="0" w:evenHBand="0" w:firstRowFirstColumn="0" w:firstRowLastColumn="0" w:lastRowFirstColumn="0" w:lastRowLastColumn="0"/>
              <w:rPr>
                <w:color w:val="000000"/>
                <w:lang w:val="sr-Cyrl-BA"/>
              </w:rPr>
            </w:pPr>
            <w:r w:rsidRPr="0085443D">
              <w:rPr>
                <w:color w:val="000000"/>
              </w:rPr>
              <w:t>Zasijana</w:t>
            </w:r>
            <w:r w:rsidRPr="0085443D">
              <w:rPr>
                <w:color w:val="000000"/>
                <w:lang w:val="sr-Cyrl-BA"/>
              </w:rPr>
              <w:t xml:space="preserve"> </w:t>
            </w:r>
            <w:r w:rsidRPr="0085443D">
              <w:rPr>
                <w:color w:val="000000"/>
              </w:rPr>
              <w:t xml:space="preserve">površina </w:t>
            </w:r>
            <w:r w:rsidRPr="0085443D">
              <w:rPr>
                <w:color w:val="000000"/>
                <w:lang w:val="sr-Cyrl-BA"/>
              </w:rPr>
              <w:t>(</w:t>
            </w:r>
            <w:r w:rsidRPr="0085443D">
              <w:rPr>
                <w:color w:val="000000"/>
              </w:rPr>
              <w:t>ha</w:t>
            </w:r>
            <w:r w:rsidRPr="0085443D">
              <w:rPr>
                <w:color w:val="000000"/>
                <w:lang w:val="sr-Cyrl-BA"/>
              </w:rPr>
              <w:t>)</w:t>
            </w:r>
          </w:p>
        </w:tc>
        <w:tc>
          <w:tcPr>
            <w:tcW w:w="3735" w:type="dxa"/>
            <w:gridSpan w:val="2"/>
            <w:noWrap/>
            <w:hideMark/>
          </w:tcPr>
          <w:p w14:paraId="558C6635" w14:textId="77777777" w:rsidR="00112985" w:rsidRPr="0085443D" w:rsidRDefault="00112985" w:rsidP="00797BD6">
            <w:pPr>
              <w:jc w:val="center"/>
              <w:cnfStyle w:val="100000000000" w:firstRow="1" w:lastRow="0" w:firstColumn="0" w:lastColumn="0" w:oddVBand="0" w:evenVBand="0" w:oddHBand="0" w:evenHBand="0" w:firstRowFirstColumn="0" w:firstRowLastColumn="0" w:lastRowFirstColumn="0" w:lastRowLastColumn="0"/>
              <w:rPr>
                <w:color w:val="000000"/>
              </w:rPr>
            </w:pPr>
            <w:r w:rsidRPr="0085443D">
              <w:rPr>
                <w:color w:val="000000"/>
              </w:rPr>
              <w:t>Prinos</w:t>
            </w:r>
          </w:p>
        </w:tc>
      </w:tr>
      <w:tr w:rsidR="00112985" w:rsidRPr="0085443D" w14:paraId="5BA64B1A" w14:textId="77777777" w:rsidTr="00797B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5" w:type="dxa"/>
            <w:vMerge/>
            <w:hideMark/>
          </w:tcPr>
          <w:p w14:paraId="77B6F7F1" w14:textId="77777777" w:rsidR="00112985" w:rsidRPr="0085443D" w:rsidRDefault="00112985" w:rsidP="00797BD6">
            <w:pPr>
              <w:rPr>
                <w:color w:val="000000"/>
              </w:rPr>
            </w:pPr>
          </w:p>
        </w:tc>
        <w:tc>
          <w:tcPr>
            <w:tcW w:w="3080" w:type="dxa"/>
            <w:vMerge/>
            <w:hideMark/>
          </w:tcPr>
          <w:p w14:paraId="4152E15F" w14:textId="77777777" w:rsidR="00112985" w:rsidRPr="0085443D" w:rsidRDefault="00112985" w:rsidP="00797BD6">
            <w:pPr>
              <w:cnfStyle w:val="000000100000" w:firstRow="0" w:lastRow="0" w:firstColumn="0" w:lastColumn="0" w:oddVBand="0" w:evenVBand="0" w:oddHBand="1" w:evenHBand="0" w:firstRowFirstColumn="0" w:firstRowLastColumn="0" w:lastRowFirstColumn="0" w:lastRowLastColumn="0"/>
              <w:rPr>
                <w:color w:val="000000"/>
              </w:rPr>
            </w:pPr>
          </w:p>
        </w:tc>
        <w:tc>
          <w:tcPr>
            <w:tcW w:w="2116" w:type="dxa"/>
            <w:vMerge/>
            <w:hideMark/>
          </w:tcPr>
          <w:p w14:paraId="239CC711" w14:textId="77777777" w:rsidR="00112985" w:rsidRPr="0085443D" w:rsidRDefault="00112985" w:rsidP="00797BD6">
            <w:pPr>
              <w:cnfStyle w:val="000000100000" w:firstRow="0" w:lastRow="0" w:firstColumn="0" w:lastColumn="0" w:oddVBand="0" w:evenVBand="0" w:oddHBand="1" w:evenHBand="0" w:firstRowFirstColumn="0" w:firstRowLastColumn="0" w:lastRowFirstColumn="0" w:lastRowLastColumn="0"/>
              <w:rPr>
                <w:color w:val="000000"/>
              </w:rPr>
            </w:pPr>
          </w:p>
        </w:tc>
        <w:tc>
          <w:tcPr>
            <w:tcW w:w="2261" w:type="dxa"/>
            <w:noWrap/>
            <w:hideMark/>
          </w:tcPr>
          <w:p w14:paraId="508D8A93" w14:textId="77777777" w:rsidR="00112985" w:rsidRPr="0085443D" w:rsidRDefault="00112985" w:rsidP="008916C0">
            <w:pPr>
              <w:jc w:val="center"/>
              <w:cnfStyle w:val="000000100000" w:firstRow="0" w:lastRow="0" w:firstColumn="0" w:lastColumn="0" w:oddVBand="0" w:evenVBand="0" w:oddHBand="1" w:evenHBand="0" w:firstRowFirstColumn="0" w:firstRowLastColumn="0" w:lastRowFirstColumn="0" w:lastRowLastColumn="0"/>
              <w:rPr>
                <w:b/>
                <w:color w:val="000000"/>
                <w:lang w:val="sr-Cyrl-BA"/>
              </w:rPr>
            </w:pPr>
            <w:r w:rsidRPr="0085443D">
              <w:rPr>
                <w:b/>
                <w:color w:val="000000"/>
              </w:rPr>
              <w:t>Prosječan</w:t>
            </w:r>
            <w:r w:rsidRPr="0085443D">
              <w:rPr>
                <w:b/>
                <w:color w:val="000000"/>
                <w:lang w:val="sr-Cyrl-BA"/>
              </w:rPr>
              <w:t xml:space="preserve"> (</w:t>
            </w:r>
            <w:r w:rsidRPr="0085443D">
              <w:rPr>
                <w:b/>
                <w:color w:val="000000"/>
              </w:rPr>
              <w:t>kg/ha</w:t>
            </w:r>
            <w:r w:rsidRPr="0085443D">
              <w:rPr>
                <w:b/>
                <w:color w:val="000000"/>
                <w:lang w:val="sr-Cyrl-BA"/>
              </w:rPr>
              <w:t>)</w:t>
            </w:r>
          </w:p>
        </w:tc>
        <w:tc>
          <w:tcPr>
            <w:tcW w:w="1474" w:type="dxa"/>
            <w:noWrap/>
            <w:hideMark/>
          </w:tcPr>
          <w:p w14:paraId="610A1A78" w14:textId="77777777" w:rsidR="00112985" w:rsidRPr="0085443D" w:rsidRDefault="00112985" w:rsidP="008916C0">
            <w:pPr>
              <w:jc w:val="center"/>
              <w:cnfStyle w:val="000000100000" w:firstRow="0" w:lastRow="0" w:firstColumn="0" w:lastColumn="0" w:oddVBand="0" w:evenVBand="0" w:oddHBand="1" w:evenHBand="0" w:firstRowFirstColumn="0" w:firstRowLastColumn="0" w:lastRowFirstColumn="0" w:lastRowLastColumn="0"/>
              <w:rPr>
                <w:b/>
                <w:color w:val="000000"/>
                <w:lang w:val="sr-Cyrl-BA"/>
              </w:rPr>
            </w:pPr>
            <w:r w:rsidRPr="0085443D">
              <w:rPr>
                <w:b/>
                <w:color w:val="000000"/>
              </w:rPr>
              <w:t>Ukupan</w:t>
            </w:r>
            <w:r w:rsidRPr="0085443D">
              <w:rPr>
                <w:b/>
                <w:color w:val="000000"/>
                <w:lang w:val="sr-Cyrl-BA"/>
              </w:rPr>
              <w:t xml:space="preserve"> (</w:t>
            </w:r>
            <w:r w:rsidRPr="0085443D">
              <w:rPr>
                <w:b/>
                <w:color w:val="000000"/>
              </w:rPr>
              <w:t>t</w:t>
            </w:r>
            <w:r w:rsidRPr="0085443D">
              <w:rPr>
                <w:b/>
                <w:color w:val="000000"/>
                <w:lang w:val="sr-Cyrl-BA"/>
              </w:rPr>
              <w:t>)</w:t>
            </w:r>
          </w:p>
        </w:tc>
      </w:tr>
      <w:tr w:rsidR="00112985" w:rsidRPr="0085443D" w14:paraId="58BDF9A7" w14:textId="77777777" w:rsidTr="00797BD6">
        <w:trPr>
          <w:trHeight w:val="298"/>
        </w:trPr>
        <w:tc>
          <w:tcPr>
            <w:cnfStyle w:val="001000000000" w:firstRow="0" w:lastRow="0" w:firstColumn="1" w:lastColumn="0" w:oddVBand="0" w:evenVBand="0" w:oddHBand="0" w:evenHBand="0" w:firstRowFirstColumn="0" w:firstRowLastColumn="0" w:lastRowFirstColumn="0" w:lastRowLastColumn="0"/>
            <w:tcW w:w="675" w:type="dxa"/>
            <w:noWrap/>
            <w:hideMark/>
          </w:tcPr>
          <w:p w14:paraId="159C18A9" w14:textId="77777777" w:rsidR="00112985" w:rsidRPr="0085443D" w:rsidRDefault="00112985" w:rsidP="00797BD6">
            <w:pPr>
              <w:jc w:val="center"/>
              <w:rPr>
                <w:color w:val="000000"/>
                <w:lang w:val="sr-Cyrl-BA"/>
              </w:rPr>
            </w:pPr>
            <w:r w:rsidRPr="0085443D">
              <w:rPr>
                <w:color w:val="000000"/>
              </w:rPr>
              <w:t>1</w:t>
            </w:r>
            <w:r w:rsidRPr="0085443D">
              <w:rPr>
                <w:color w:val="000000"/>
                <w:lang w:val="sr-Cyrl-BA"/>
              </w:rPr>
              <w:t>.</w:t>
            </w:r>
          </w:p>
        </w:tc>
        <w:tc>
          <w:tcPr>
            <w:tcW w:w="3080" w:type="dxa"/>
            <w:hideMark/>
          </w:tcPr>
          <w:p w14:paraId="206ADAAC" w14:textId="77777777" w:rsidR="00112985" w:rsidRPr="0085443D" w:rsidRDefault="00112985" w:rsidP="00797BD6">
            <w:pPr>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Pšenica</w:t>
            </w:r>
            <w:r w:rsidRPr="0085443D">
              <w:rPr>
                <w:color w:val="000000"/>
                <w:lang w:val="sr-Cyrl-BA"/>
              </w:rPr>
              <w:t xml:space="preserve"> </w:t>
            </w:r>
            <w:r w:rsidRPr="0085443D">
              <w:rPr>
                <w:color w:val="000000"/>
              </w:rPr>
              <w:t>merkantilna</w:t>
            </w:r>
          </w:p>
        </w:tc>
        <w:tc>
          <w:tcPr>
            <w:tcW w:w="2116" w:type="dxa"/>
            <w:noWrap/>
            <w:hideMark/>
          </w:tcPr>
          <w:p w14:paraId="3E53B2B4"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950,00</w:t>
            </w:r>
          </w:p>
        </w:tc>
        <w:tc>
          <w:tcPr>
            <w:tcW w:w="2261" w:type="dxa"/>
            <w:noWrap/>
            <w:hideMark/>
          </w:tcPr>
          <w:p w14:paraId="2BFB8267"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3</w:t>
            </w:r>
            <w:r w:rsidR="008916C0" w:rsidRPr="0085443D">
              <w:rPr>
                <w:color w:val="000000"/>
              </w:rPr>
              <w:t>.</w:t>
            </w:r>
            <w:r w:rsidRPr="0085443D">
              <w:rPr>
                <w:color w:val="000000"/>
              </w:rPr>
              <w:t>700,00</w:t>
            </w:r>
          </w:p>
        </w:tc>
        <w:tc>
          <w:tcPr>
            <w:tcW w:w="1474" w:type="dxa"/>
            <w:noWrap/>
            <w:hideMark/>
          </w:tcPr>
          <w:p w14:paraId="6AC6692E"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3515,00</w:t>
            </w:r>
          </w:p>
        </w:tc>
      </w:tr>
      <w:tr w:rsidR="00112985" w:rsidRPr="0085443D" w14:paraId="1937C465" w14:textId="77777777" w:rsidTr="00797B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B1F63E6" w14:textId="77777777" w:rsidR="00112985" w:rsidRPr="0085443D" w:rsidRDefault="00112985" w:rsidP="00797BD6">
            <w:pPr>
              <w:jc w:val="center"/>
              <w:rPr>
                <w:color w:val="000000"/>
                <w:lang w:val="sr-Cyrl-BA"/>
              </w:rPr>
            </w:pPr>
            <w:r w:rsidRPr="0085443D">
              <w:rPr>
                <w:color w:val="000000"/>
              </w:rPr>
              <w:t>2</w:t>
            </w:r>
            <w:r w:rsidRPr="0085443D">
              <w:rPr>
                <w:color w:val="000000"/>
                <w:lang w:val="sr-Cyrl-BA"/>
              </w:rPr>
              <w:t>.</w:t>
            </w:r>
          </w:p>
        </w:tc>
        <w:tc>
          <w:tcPr>
            <w:tcW w:w="3080" w:type="dxa"/>
            <w:noWrap/>
            <w:hideMark/>
          </w:tcPr>
          <w:p w14:paraId="4E481511" w14:textId="77777777" w:rsidR="00112985" w:rsidRPr="0085443D" w:rsidRDefault="00112985" w:rsidP="00797BD6">
            <w:pPr>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Raž</w:t>
            </w:r>
          </w:p>
        </w:tc>
        <w:tc>
          <w:tcPr>
            <w:tcW w:w="2116" w:type="dxa"/>
            <w:noWrap/>
            <w:hideMark/>
          </w:tcPr>
          <w:p w14:paraId="3E5D14F4" w14:textId="77777777" w:rsidR="00112985" w:rsidRPr="0085443D" w:rsidRDefault="00112985" w:rsidP="00797BD6">
            <w:pPr>
              <w:jc w:val="right"/>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28,00</w:t>
            </w:r>
          </w:p>
        </w:tc>
        <w:tc>
          <w:tcPr>
            <w:tcW w:w="2261" w:type="dxa"/>
            <w:noWrap/>
            <w:hideMark/>
          </w:tcPr>
          <w:p w14:paraId="13F99E13" w14:textId="77777777" w:rsidR="00112985" w:rsidRPr="0085443D" w:rsidRDefault="00112985" w:rsidP="00797BD6">
            <w:pPr>
              <w:jc w:val="right"/>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2</w:t>
            </w:r>
            <w:r w:rsidR="008916C0" w:rsidRPr="0085443D">
              <w:rPr>
                <w:color w:val="000000"/>
              </w:rPr>
              <w:t>.</w:t>
            </w:r>
            <w:r w:rsidRPr="0085443D">
              <w:rPr>
                <w:color w:val="000000"/>
              </w:rPr>
              <w:t>550,00</w:t>
            </w:r>
          </w:p>
        </w:tc>
        <w:tc>
          <w:tcPr>
            <w:tcW w:w="1474" w:type="dxa"/>
            <w:noWrap/>
            <w:hideMark/>
          </w:tcPr>
          <w:p w14:paraId="6A31F2AD" w14:textId="77777777" w:rsidR="00112985" w:rsidRPr="0085443D" w:rsidRDefault="00112985" w:rsidP="00797BD6">
            <w:pPr>
              <w:jc w:val="right"/>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71,00</w:t>
            </w:r>
          </w:p>
        </w:tc>
      </w:tr>
      <w:tr w:rsidR="00112985" w:rsidRPr="0085443D" w14:paraId="5F93B20E" w14:textId="77777777" w:rsidTr="00797BD6">
        <w:trPr>
          <w:trHeight w:val="30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B761F9A" w14:textId="77777777" w:rsidR="00112985" w:rsidRPr="0085443D" w:rsidRDefault="00112985" w:rsidP="00797BD6">
            <w:pPr>
              <w:jc w:val="center"/>
              <w:rPr>
                <w:color w:val="000000"/>
                <w:lang w:val="sr-Cyrl-BA"/>
              </w:rPr>
            </w:pPr>
            <w:r w:rsidRPr="0085443D">
              <w:rPr>
                <w:color w:val="000000"/>
              </w:rPr>
              <w:t>3</w:t>
            </w:r>
            <w:r w:rsidRPr="0085443D">
              <w:rPr>
                <w:color w:val="000000"/>
                <w:lang w:val="sr-Cyrl-BA"/>
              </w:rPr>
              <w:t>.</w:t>
            </w:r>
          </w:p>
        </w:tc>
        <w:tc>
          <w:tcPr>
            <w:tcW w:w="3080" w:type="dxa"/>
            <w:noWrap/>
            <w:hideMark/>
          </w:tcPr>
          <w:p w14:paraId="4DA7004E" w14:textId="77777777" w:rsidR="00112985" w:rsidRPr="0085443D" w:rsidRDefault="00112985" w:rsidP="00797BD6">
            <w:pPr>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Ječam</w:t>
            </w:r>
            <w:r w:rsidRPr="0085443D">
              <w:rPr>
                <w:color w:val="000000"/>
                <w:lang w:val="sr-Cyrl-BA"/>
              </w:rPr>
              <w:t xml:space="preserve"> </w:t>
            </w:r>
            <w:r w:rsidRPr="0085443D">
              <w:rPr>
                <w:color w:val="000000"/>
              </w:rPr>
              <w:t>ukupno</w:t>
            </w:r>
          </w:p>
        </w:tc>
        <w:tc>
          <w:tcPr>
            <w:tcW w:w="2116" w:type="dxa"/>
            <w:noWrap/>
            <w:hideMark/>
          </w:tcPr>
          <w:p w14:paraId="1AC3945E"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375,00</w:t>
            </w:r>
          </w:p>
        </w:tc>
        <w:tc>
          <w:tcPr>
            <w:tcW w:w="2261" w:type="dxa"/>
            <w:noWrap/>
            <w:hideMark/>
          </w:tcPr>
          <w:p w14:paraId="5C1FA06E"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3</w:t>
            </w:r>
            <w:r w:rsidR="008916C0" w:rsidRPr="0085443D">
              <w:rPr>
                <w:color w:val="000000"/>
              </w:rPr>
              <w:t>.</w:t>
            </w:r>
            <w:r w:rsidRPr="0085443D">
              <w:rPr>
                <w:color w:val="000000"/>
              </w:rPr>
              <w:t>300,00</w:t>
            </w:r>
          </w:p>
        </w:tc>
        <w:tc>
          <w:tcPr>
            <w:tcW w:w="1474" w:type="dxa"/>
            <w:noWrap/>
            <w:hideMark/>
          </w:tcPr>
          <w:p w14:paraId="445A8456"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1</w:t>
            </w:r>
            <w:r w:rsidR="008916C0" w:rsidRPr="0085443D">
              <w:rPr>
                <w:color w:val="000000"/>
              </w:rPr>
              <w:t>.</w:t>
            </w:r>
            <w:r w:rsidRPr="0085443D">
              <w:rPr>
                <w:color w:val="000000"/>
              </w:rPr>
              <w:t>237,00</w:t>
            </w:r>
          </w:p>
        </w:tc>
      </w:tr>
      <w:tr w:rsidR="00112985" w:rsidRPr="0085443D" w14:paraId="7D17254D" w14:textId="77777777" w:rsidTr="00797B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022A29F" w14:textId="77777777" w:rsidR="00112985" w:rsidRPr="0085443D" w:rsidRDefault="00112985" w:rsidP="00797BD6">
            <w:pPr>
              <w:jc w:val="center"/>
              <w:rPr>
                <w:color w:val="000000"/>
                <w:lang w:val="sr-Cyrl-BA"/>
              </w:rPr>
            </w:pPr>
            <w:r w:rsidRPr="0085443D">
              <w:rPr>
                <w:color w:val="000000"/>
              </w:rPr>
              <w:lastRenderedPageBreak/>
              <w:t>4</w:t>
            </w:r>
            <w:r w:rsidRPr="0085443D">
              <w:rPr>
                <w:color w:val="000000"/>
                <w:lang w:val="sr-Cyrl-BA"/>
              </w:rPr>
              <w:t>.</w:t>
            </w:r>
          </w:p>
        </w:tc>
        <w:tc>
          <w:tcPr>
            <w:tcW w:w="3080" w:type="dxa"/>
            <w:noWrap/>
            <w:hideMark/>
          </w:tcPr>
          <w:p w14:paraId="0BC577F2" w14:textId="77777777" w:rsidR="00112985" w:rsidRPr="0085443D" w:rsidRDefault="00112985" w:rsidP="00797BD6">
            <w:pPr>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Ječam</w:t>
            </w:r>
            <w:r w:rsidRPr="0085443D">
              <w:rPr>
                <w:color w:val="000000"/>
                <w:lang w:val="sr-Cyrl-BA"/>
              </w:rPr>
              <w:t xml:space="preserve"> </w:t>
            </w:r>
            <w:r w:rsidRPr="0085443D">
              <w:rPr>
                <w:color w:val="000000"/>
              </w:rPr>
              <w:t>ozimi</w:t>
            </w:r>
          </w:p>
        </w:tc>
        <w:tc>
          <w:tcPr>
            <w:tcW w:w="2116" w:type="dxa"/>
            <w:noWrap/>
            <w:hideMark/>
          </w:tcPr>
          <w:p w14:paraId="31972BA6" w14:textId="77777777" w:rsidR="00112985" w:rsidRPr="0085443D" w:rsidRDefault="00112985" w:rsidP="00797BD6">
            <w:pPr>
              <w:jc w:val="right"/>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171,00</w:t>
            </w:r>
          </w:p>
        </w:tc>
        <w:tc>
          <w:tcPr>
            <w:tcW w:w="2261" w:type="dxa"/>
            <w:noWrap/>
            <w:hideMark/>
          </w:tcPr>
          <w:p w14:paraId="0F7243A5" w14:textId="77777777" w:rsidR="00112985" w:rsidRPr="0085443D" w:rsidRDefault="00112985" w:rsidP="00797BD6">
            <w:pPr>
              <w:jc w:val="right"/>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3</w:t>
            </w:r>
            <w:r w:rsidR="008916C0" w:rsidRPr="0085443D">
              <w:rPr>
                <w:color w:val="000000"/>
              </w:rPr>
              <w:t>.</w:t>
            </w:r>
            <w:r w:rsidRPr="0085443D">
              <w:rPr>
                <w:color w:val="000000"/>
              </w:rPr>
              <w:t>350,00</w:t>
            </w:r>
          </w:p>
        </w:tc>
        <w:tc>
          <w:tcPr>
            <w:tcW w:w="1474" w:type="dxa"/>
            <w:noWrap/>
            <w:hideMark/>
          </w:tcPr>
          <w:p w14:paraId="2D99B73B" w14:textId="77777777" w:rsidR="00112985" w:rsidRPr="0085443D" w:rsidRDefault="00112985" w:rsidP="00797BD6">
            <w:pPr>
              <w:jc w:val="right"/>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572,85</w:t>
            </w:r>
          </w:p>
        </w:tc>
      </w:tr>
      <w:tr w:rsidR="00112985" w:rsidRPr="0085443D" w14:paraId="4119DE0D" w14:textId="77777777" w:rsidTr="00797BD6">
        <w:trPr>
          <w:trHeight w:val="300"/>
        </w:trPr>
        <w:tc>
          <w:tcPr>
            <w:cnfStyle w:val="001000000000" w:firstRow="0" w:lastRow="0" w:firstColumn="1" w:lastColumn="0" w:oddVBand="0" w:evenVBand="0" w:oddHBand="0" w:evenHBand="0" w:firstRowFirstColumn="0" w:firstRowLastColumn="0" w:lastRowFirstColumn="0" w:lastRowLastColumn="0"/>
            <w:tcW w:w="675" w:type="dxa"/>
            <w:noWrap/>
            <w:hideMark/>
          </w:tcPr>
          <w:p w14:paraId="7BFEF720" w14:textId="77777777" w:rsidR="00112985" w:rsidRPr="0085443D" w:rsidRDefault="00112985" w:rsidP="00797BD6">
            <w:pPr>
              <w:jc w:val="center"/>
              <w:rPr>
                <w:color w:val="000000"/>
                <w:lang w:val="sr-Cyrl-BA"/>
              </w:rPr>
            </w:pPr>
            <w:r w:rsidRPr="0085443D">
              <w:rPr>
                <w:color w:val="000000"/>
              </w:rPr>
              <w:t>5</w:t>
            </w:r>
            <w:r w:rsidRPr="0085443D">
              <w:rPr>
                <w:color w:val="000000"/>
                <w:lang w:val="sr-Cyrl-BA"/>
              </w:rPr>
              <w:t>.</w:t>
            </w:r>
          </w:p>
        </w:tc>
        <w:tc>
          <w:tcPr>
            <w:tcW w:w="3080" w:type="dxa"/>
            <w:noWrap/>
            <w:hideMark/>
          </w:tcPr>
          <w:p w14:paraId="7F5B8613" w14:textId="77777777" w:rsidR="00112985" w:rsidRPr="0085443D" w:rsidRDefault="00112985" w:rsidP="00797BD6">
            <w:pPr>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Ječam</w:t>
            </w:r>
            <w:r w:rsidRPr="0085443D">
              <w:rPr>
                <w:color w:val="000000"/>
                <w:lang w:val="sr-Cyrl-BA"/>
              </w:rPr>
              <w:t xml:space="preserve"> </w:t>
            </w:r>
            <w:r w:rsidRPr="0085443D">
              <w:rPr>
                <w:color w:val="000000"/>
              </w:rPr>
              <w:t>jari</w:t>
            </w:r>
          </w:p>
        </w:tc>
        <w:tc>
          <w:tcPr>
            <w:tcW w:w="2116" w:type="dxa"/>
            <w:noWrap/>
            <w:hideMark/>
          </w:tcPr>
          <w:p w14:paraId="7533860E"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204,00</w:t>
            </w:r>
          </w:p>
        </w:tc>
        <w:tc>
          <w:tcPr>
            <w:tcW w:w="2261" w:type="dxa"/>
            <w:noWrap/>
            <w:hideMark/>
          </w:tcPr>
          <w:p w14:paraId="54AAAA5D"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3</w:t>
            </w:r>
            <w:r w:rsidR="008916C0" w:rsidRPr="0085443D">
              <w:rPr>
                <w:color w:val="000000"/>
              </w:rPr>
              <w:t>.</w:t>
            </w:r>
            <w:r w:rsidRPr="0085443D">
              <w:rPr>
                <w:color w:val="000000"/>
              </w:rPr>
              <w:t>250,00</w:t>
            </w:r>
          </w:p>
        </w:tc>
        <w:tc>
          <w:tcPr>
            <w:tcW w:w="1474" w:type="dxa"/>
            <w:noWrap/>
            <w:hideMark/>
          </w:tcPr>
          <w:p w14:paraId="3256A58D"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636,00</w:t>
            </w:r>
          </w:p>
        </w:tc>
      </w:tr>
      <w:tr w:rsidR="00112985" w:rsidRPr="0085443D" w14:paraId="019622D2" w14:textId="77777777" w:rsidTr="00797B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5" w:type="dxa"/>
            <w:noWrap/>
            <w:hideMark/>
          </w:tcPr>
          <w:p w14:paraId="18686BAC" w14:textId="77777777" w:rsidR="00112985" w:rsidRPr="0085443D" w:rsidRDefault="00112985" w:rsidP="00797BD6">
            <w:pPr>
              <w:jc w:val="center"/>
              <w:rPr>
                <w:color w:val="000000"/>
                <w:lang w:val="sr-Cyrl-BA"/>
              </w:rPr>
            </w:pPr>
            <w:r w:rsidRPr="0085443D">
              <w:rPr>
                <w:color w:val="000000"/>
              </w:rPr>
              <w:t>6</w:t>
            </w:r>
            <w:r w:rsidRPr="0085443D">
              <w:rPr>
                <w:color w:val="000000"/>
                <w:lang w:val="sr-Cyrl-BA"/>
              </w:rPr>
              <w:t>.</w:t>
            </w:r>
          </w:p>
        </w:tc>
        <w:tc>
          <w:tcPr>
            <w:tcW w:w="3080" w:type="dxa"/>
            <w:noWrap/>
            <w:hideMark/>
          </w:tcPr>
          <w:p w14:paraId="78F75BE1" w14:textId="77777777" w:rsidR="00112985" w:rsidRPr="0085443D" w:rsidRDefault="00112985" w:rsidP="00797BD6">
            <w:pPr>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Zob (ovas)</w:t>
            </w:r>
          </w:p>
        </w:tc>
        <w:tc>
          <w:tcPr>
            <w:tcW w:w="2116" w:type="dxa"/>
            <w:noWrap/>
            <w:hideMark/>
          </w:tcPr>
          <w:p w14:paraId="448CC1FF" w14:textId="77777777" w:rsidR="00112985" w:rsidRPr="0085443D" w:rsidRDefault="00112985" w:rsidP="00797BD6">
            <w:pPr>
              <w:jc w:val="right"/>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670,00</w:t>
            </w:r>
          </w:p>
        </w:tc>
        <w:tc>
          <w:tcPr>
            <w:tcW w:w="2261" w:type="dxa"/>
            <w:noWrap/>
            <w:hideMark/>
          </w:tcPr>
          <w:p w14:paraId="66FB25D5" w14:textId="77777777" w:rsidR="00112985" w:rsidRPr="0085443D" w:rsidRDefault="00112985" w:rsidP="00797BD6">
            <w:pPr>
              <w:jc w:val="right"/>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2</w:t>
            </w:r>
            <w:r w:rsidR="008916C0" w:rsidRPr="0085443D">
              <w:rPr>
                <w:color w:val="000000"/>
              </w:rPr>
              <w:t>.</w:t>
            </w:r>
            <w:r w:rsidRPr="0085443D">
              <w:rPr>
                <w:color w:val="000000"/>
              </w:rPr>
              <w:t>700,00</w:t>
            </w:r>
          </w:p>
        </w:tc>
        <w:tc>
          <w:tcPr>
            <w:tcW w:w="1474" w:type="dxa"/>
            <w:noWrap/>
            <w:hideMark/>
          </w:tcPr>
          <w:p w14:paraId="4BE7402F" w14:textId="77777777" w:rsidR="00112985" w:rsidRPr="0085443D" w:rsidRDefault="00112985" w:rsidP="00797BD6">
            <w:pPr>
              <w:jc w:val="right"/>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1</w:t>
            </w:r>
            <w:r w:rsidR="008916C0" w:rsidRPr="0085443D">
              <w:rPr>
                <w:color w:val="000000"/>
              </w:rPr>
              <w:t>.</w:t>
            </w:r>
            <w:r w:rsidRPr="0085443D">
              <w:rPr>
                <w:color w:val="000000"/>
              </w:rPr>
              <w:t>089,00</w:t>
            </w:r>
          </w:p>
        </w:tc>
      </w:tr>
      <w:tr w:rsidR="00112985" w:rsidRPr="0085443D" w14:paraId="6E42B817" w14:textId="77777777" w:rsidTr="00797BD6">
        <w:trPr>
          <w:trHeight w:val="300"/>
        </w:trPr>
        <w:tc>
          <w:tcPr>
            <w:cnfStyle w:val="001000000000" w:firstRow="0" w:lastRow="0" w:firstColumn="1" w:lastColumn="0" w:oddVBand="0" w:evenVBand="0" w:oddHBand="0" w:evenHBand="0" w:firstRowFirstColumn="0" w:firstRowLastColumn="0" w:lastRowFirstColumn="0" w:lastRowLastColumn="0"/>
            <w:tcW w:w="675" w:type="dxa"/>
            <w:noWrap/>
            <w:hideMark/>
          </w:tcPr>
          <w:p w14:paraId="77C27A4C" w14:textId="77777777" w:rsidR="00112985" w:rsidRPr="0085443D" w:rsidRDefault="00112985" w:rsidP="00797BD6">
            <w:pPr>
              <w:jc w:val="center"/>
              <w:rPr>
                <w:color w:val="000000"/>
                <w:lang w:val="sr-Cyrl-BA"/>
              </w:rPr>
            </w:pPr>
            <w:r w:rsidRPr="0085443D">
              <w:rPr>
                <w:color w:val="000000"/>
              </w:rPr>
              <w:t>7</w:t>
            </w:r>
            <w:r w:rsidRPr="0085443D">
              <w:rPr>
                <w:color w:val="000000"/>
                <w:lang w:val="sr-Cyrl-BA"/>
              </w:rPr>
              <w:t>.</w:t>
            </w:r>
          </w:p>
        </w:tc>
        <w:tc>
          <w:tcPr>
            <w:tcW w:w="3080" w:type="dxa"/>
            <w:noWrap/>
            <w:hideMark/>
          </w:tcPr>
          <w:p w14:paraId="7ADAB5A9" w14:textId="77777777" w:rsidR="00112985" w:rsidRPr="0085443D" w:rsidRDefault="00112985" w:rsidP="00797BD6">
            <w:pPr>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Tritikale</w:t>
            </w:r>
          </w:p>
        </w:tc>
        <w:tc>
          <w:tcPr>
            <w:tcW w:w="2116" w:type="dxa"/>
            <w:noWrap/>
            <w:hideMark/>
          </w:tcPr>
          <w:p w14:paraId="33780A1C"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630,00</w:t>
            </w:r>
          </w:p>
        </w:tc>
        <w:tc>
          <w:tcPr>
            <w:tcW w:w="2261" w:type="dxa"/>
            <w:noWrap/>
            <w:hideMark/>
          </w:tcPr>
          <w:p w14:paraId="1F289570"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3</w:t>
            </w:r>
            <w:r w:rsidR="008916C0" w:rsidRPr="0085443D">
              <w:rPr>
                <w:color w:val="000000"/>
              </w:rPr>
              <w:t>.</w:t>
            </w:r>
            <w:r w:rsidRPr="0085443D">
              <w:rPr>
                <w:color w:val="000000"/>
              </w:rPr>
              <w:t>950,00</w:t>
            </w:r>
          </w:p>
        </w:tc>
        <w:tc>
          <w:tcPr>
            <w:tcW w:w="1474" w:type="dxa"/>
            <w:noWrap/>
            <w:hideMark/>
          </w:tcPr>
          <w:p w14:paraId="72F9A52E"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2</w:t>
            </w:r>
            <w:r w:rsidR="008916C0" w:rsidRPr="0085443D">
              <w:rPr>
                <w:color w:val="000000"/>
              </w:rPr>
              <w:t>.</w:t>
            </w:r>
            <w:r w:rsidRPr="0085443D">
              <w:rPr>
                <w:color w:val="000000"/>
              </w:rPr>
              <w:t>488,50</w:t>
            </w:r>
          </w:p>
        </w:tc>
      </w:tr>
      <w:tr w:rsidR="00112985" w:rsidRPr="0085443D" w14:paraId="4D7E68E6" w14:textId="77777777" w:rsidTr="00797B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5" w:type="dxa"/>
            <w:noWrap/>
            <w:hideMark/>
          </w:tcPr>
          <w:p w14:paraId="109D373B" w14:textId="77777777" w:rsidR="00112985" w:rsidRPr="0085443D" w:rsidRDefault="00112985" w:rsidP="00797BD6">
            <w:pPr>
              <w:jc w:val="center"/>
              <w:rPr>
                <w:color w:val="000000"/>
                <w:lang w:val="sr-Cyrl-BA"/>
              </w:rPr>
            </w:pPr>
            <w:r w:rsidRPr="0085443D">
              <w:rPr>
                <w:color w:val="000000"/>
              </w:rPr>
              <w:t>8</w:t>
            </w:r>
            <w:r w:rsidRPr="0085443D">
              <w:rPr>
                <w:color w:val="000000"/>
                <w:lang w:val="sr-Cyrl-BA"/>
              </w:rPr>
              <w:t>.</w:t>
            </w:r>
          </w:p>
        </w:tc>
        <w:tc>
          <w:tcPr>
            <w:tcW w:w="3080" w:type="dxa"/>
            <w:noWrap/>
            <w:hideMark/>
          </w:tcPr>
          <w:p w14:paraId="7A5C830F" w14:textId="77777777" w:rsidR="00112985" w:rsidRPr="0085443D" w:rsidRDefault="00112985" w:rsidP="00797BD6">
            <w:pPr>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Uljana</w:t>
            </w:r>
            <w:r w:rsidRPr="0085443D">
              <w:rPr>
                <w:color w:val="000000"/>
                <w:lang w:val="sr-Cyrl-BA"/>
              </w:rPr>
              <w:t xml:space="preserve"> </w:t>
            </w:r>
            <w:r w:rsidRPr="0085443D">
              <w:rPr>
                <w:color w:val="000000"/>
              </w:rPr>
              <w:t>repica</w:t>
            </w:r>
          </w:p>
        </w:tc>
        <w:tc>
          <w:tcPr>
            <w:tcW w:w="2116" w:type="dxa"/>
            <w:noWrap/>
            <w:hideMark/>
          </w:tcPr>
          <w:p w14:paraId="4A1CD23B" w14:textId="77777777" w:rsidR="00112985" w:rsidRPr="0085443D" w:rsidRDefault="00112985" w:rsidP="00797BD6">
            <w:pPr>
              <w:jc w:val="right"/>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8,00</w:t>
            </w:r>
          </w:p>
        </w:tc>
        <w:tc>
          <w:tcPr>
            <w:tcW w:w="2261" w:type="dxa"/>
            <w:noWrap/>
            <w:hideMark/>
          </w:tcPr>
          <w:p w14:paraId="4EB9FDF8" w14:textId="77777777" w:rsidR="00112985" w:rsidRPr="0085443D" w:rsidRDefault="00112985" w:rsidP="00797BD6">
            <w:pPr>
              <w:jc w:val="right"/>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2</w:t>
            </w:r>
            <w:r w:rsidR="008916C0" w:rsidRPr="0085443D">
              <w:rPr>
                <w:color w:val="000000"/>
              </w:rPr>
              <w:t>.</w:t>
            </w:r>
            <w:r w:rsidRPr="0085443D">
              <w:rPr>
                <w:color w:val="000000"/>
              </w:rPr>
              <w:t>050,00</w:t>
            </w:r>
          </w:p>
        </w:tc>
        <w:tc>
          <w:tcPr>
            <w:tcW w:w="1474" w:type="dxa"/>
            <w:noWrap/>
            <w:hideMark/>
          </w:tcPr>
          <w:p w14:paraId="5050F972" w14:textId="77777777" w:rsidR="00112985" w:rsidRPr="0085443D" w:rsidRDefault="00112985" w:rsidP="00797BD6">
            <w:pPr>
              <w:jc w:val="right"/>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16,40</w:t>
            </w:r>
          </w:p>
        </w:tc>
      </w:tr>
      <w:tr w:rsidR="00112985" w:rsidRPr="0085443D" w14:paraId="1F6B2C2C" w14:textId="77777777" w:rsidTr="00797BD6">
        <w:trPr>
          <w:trHeight w:val="30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58B1B45" w14:textId="77777777" w:rsidR="00112985" w:rsidRPr="0085443D" w:rsidRDefault="00112985" w:rsidP="00797BD6">
            <w:pPr>
              <w:jc w:val="center"/>
              <w:rPr>
                <w:color w:val="000000"/>
                <w:lang w:val="sr-Cyrl-BA"/>
              </w:rPr>
            </w:pPr>
            <w:r w:rsidRPr="0085443D">
              <w:rPr>
                <w:color w:val="000000"/>
              </w:rPr>
              <w:t>9</w:t>
            </w:r>
            <w:r w:rsidRPr="0085443D">
              <w:rPr>
                <w:color w:val="000000"/>
                <w:lang w:val="sr-Cyrl-BA"/>
              </w:rPr>
              <w:t>.</w:t>
            </w:r>
          </w:p>
        </w:tc>
        <w:tc>
          <w:tcPr>
            <w:tcW w:w="3080" w:type="dxa"/>
            <w:noWrap/>
            <w:hideMark/>
          </w:tcPr>
          <w:p w14:paraId="44A1E621" w14:textId="77777777" w:rsidR="00112985" w:rsidRPr="0085443D" w:rsidRDefault="00112985" w:rsidP="00797BD6">
            <w:pPr>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Kukuruz</w:t>
            </w:r>
          </w:p>
        </w:tc>
        <w:tc>
          <w:tcPr>
            <w:tcW w:w="2116" w:type="dxa"/>
            <w:noWrap/>
            <w:hideMark/>
          </w:tcPr>
          <w:p w14:paraId="12066572"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6</w:t>
            </w:r>
            <w:r w:rsidR="008916C0" w:rsidRPr="0085443D">
              <w:rPr>
                <w:color w:val="000000"/>
              </w:rPr>
              <w:t>.</w:t>
            </w:r>
            <w:r w:rsidRPr="0085443D">
              <w:rPr>
                <w:color w:val="000000"/>
              </w:rPr>
              <w:t>150,00</w:t>
            </w:r>
          </w:p>
        </w:tc>
        <w:tc>
          <w:tcPr>
            <w:tcW w:w="2261" w:type="dxa"/>
            <w:noWrap/>
            <w:hideMark/>
          </w:tcPr>
          <w:p w14:paraId="1A6E77A5"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5</w:t>
            </w:r>
            <w:r w:rsidR="008916C0" w:rsidRPr="0085443D">
              <w:rPr>
                <w:color w:val="000000"/>
              </w:rPr>
              <w:t>.</w:t>
            </w:r>
            <w:r w:rsidRPr="0085443D">
              <w:rPr>
                <w:color w:val="000000"/>
              </w:rPr>
              <w:t>800,00</w:t>
            </w:r>
          </w:p>
        </w:tc>
        <w:tc>
          <w:tcPr>
            <w:tcW w:w="1474" w:type="dxa"/>
            <w:noWrap/>
            <w:hideMark/>
          </w:tcPr>
          <w:p w14:paraId="1AF0B562"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35</w:t>
            </w:r>
            <w:r w:rsidR="008916C0" w:rsidRPr="0085443D">
              <w:rPr>
                <w:color w:val="000000"/>
              </w:rPr>
              <w:t>.</w:t>
            </w:r>
            <w:r w:rsidRPr="0085443D">
              <w:rPr>
                <w:color w:val="000000"/>
              </w:rPr>
              <w:t>670,00</w:t>
            </w:r>
          </w:p>
        </w:tc>
      </w:tr>
      <w:tr w:rsidR="00112985" w:rsidRPr="0085443D" w14:paraId="575198F9" w14:textId="77777777" w:rsidTr="00797B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D8A56F8" w14:textId="77777777" w:rsidR="00112985" w:rsidRPr="0085443D" w:rsidRDefault="00112985" w:rsidP="00797BD6">
            <w:pPr>
              <w:jc w:val="center"/>
              <w:rPr>
                <w:color w:val="000000"/>
                <w:lang w:val="sr-Cyrl-BA"/>
              </w:rPr>
            </w:pPr>
            <w:r w:rsidRPr="0085443D">
              <w:rPr>
                <w:color w:val="000000"/>
              </w:rPr>
              <w:t>10</w:t>
            </w:r>
            <w:r w:rsidRPr="0085443D">
              <w:rPr>
                <w:color w:val="000000"/>
                <w:lang w:val="sr-Cyrl-BA"/>
              </w:rPr>
              <w:t>.</w:t>
            </w:r>
          </w:p>
        </w:tc>
        <w:tc>
          <w:tcPr>
            <w:tcW w:w="3080" w:type="dxa"/>
            <w:noWrap/>
            <w:hideMark/>
          </w:tcPr>
          <w:p w14:paraId="6F3750C4" w14:textId="77777777" w:rsidR="00112985" w:rsidRPr="0085443D" w:rsidRDefault="00112985" w:rsidP="00797BD6">
            <w:pPr>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Suncokret</w:t>
            </w:r>
          </w:p>
        </w:tc>
        <w:tc>
          <w:tcPr>
            <w:tcW w:w="2116" w:type="dxa"/>
            <w:noWrap/>
            <w:hideMark/>
          </w:tcPr>
          <w:p w14:paraId="382265F7" w14:textId="77777777" w:rsidR="00112985" w:rsidRPr="0085443D" w:rsidRDefault="00112985" w:rsidP="00797BD6">
            <w:pPr>
              <w:jc w:val="right"/>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22,00</w:t>
            </w:r>
          </w:p>
        </w:tc>
        <w:tc>
          <w:tcPr>
            <w:tcW w:w="2261" w:type="dxa"/>
            <w:noWrap/>
            <w:hideMark/>
          </w:tcPr>
          <w:p w14:paraId="1AAE8AD3" w14:textId="77777777" w:rsidR="00112985" w:rsidRPr="0085443D" w:rsidRDefault="00112985" w:rsidP="00797BD6">
            <w:pPr>
              <w:jc w:val="right"/>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1</w:t>
            </w:r>
            <w:r w:rsidR="008916C0" w:rsidRPr="0085443D">
              <w:rPr>
                <w:color w:val="000000"/>
              </w:rPr>
              <w:t>.</w:t>
            </w:r>
            <w:r w:rsidRPr="0085443D">
              <w:rPr>
                <w:color w:val="000000"/>
              </w:rPr>
              <w:t>900,00</w:t>
            </w:r>
          </w:p>
        </w:tc>
        <w:tc>
          <w:tcPr>
            <w:tcW w:w="1474" w:type="dxa"/>
            <w:noWrap/>
            <w:hideMark/>
          </w:tcPr>
          <w:p w14:paraId="35108F2E" w14:textId="77777777" w:rsidR="00112985" w:rsidRPr="0085443D" w:rsidRDefault="00112985" w:rsidP="00797BD6">
            <w:pPr>
              <w:jc w:val="right"/>
              <w:cnfStyle w:val="000000100000" w:firstRow="0" w:lastRow="0" w:firstColumn="0" w:lastColumn="0" w:oddVBand="0" w:evenVBand="0" w:oddHBand="1" w:evenHBand="0" w:firstRowFirstColumn="0" w:firstRowLastColumn="0" w:lastRowFirstColumn="0" w:lastRowLastColumn="0"/>
              <w:rPr>
                <w:color w:val="000000"/>
              </w:rPr>
            </w:pPr>
            <w:r w:rsidRPr="0085443D">
              <w:rPr>
                <w:color w:val="000000"/>
              </w:rPr>
              <w:t>40,80</w:t>
            </w:r>
          </w:p>
        </w:tc>
      </w:tr>
      <w:tr w:rsidR="00112985" w:rsidRPr="0085443D" w14:paraId="7E070CA1" w14:textId="77777777" w:rsidTr="00797BD6">
        <w:trPr>
          <w:trHeight w:val="300"/>
        </w:trPr>
        <w:tc>
          <w:tcPr>
            <w:cnfStyle w:val="001000000000" w:firstRow="0" w:lastRow="0" w:firstColumn="1" w:lastColumn="0" w:oddVBand="0" w:evenVBand="0" w:oddHBand="0" w:evenHBand="0" w:firstRowFirstColumn="0" w:firstRowLastColumn="0" w:lastRowFirstColumn="0" w:lastRowLastColumn="0"/>
            <w:tcW w:w="675" w:type="dxa"/>
            <w:noWrap/>
            <w:hideMark/>
          </w:tcPr>
          <w:p w14:paraId="70666A50" w14:textId="77777777" w:rsidR="00112985" w:rsidRPr="0085443D" w:rsidRDefault="00112985" w:rsidP="00797BD6">
            <w:pPr>
              <w:jc w:val="center"/>
              <w:rPr>
                <w:color w:val="000000"/>
                <w:lang w:val="sr-Cyrl-BA"/>
              </w:rPr>
            </w:pPr>
            <w:r w:rsidRPr="0085443D">
              <w:rPr>
                <w:color w:val="000000"/>
              </w:rPr>
              <w:t>11</w:t>
            </w:r>
            <w:r w:rsidRPr="0085443D">
              <w:rPr>
                <w:color w:val="000000"/>
                <w:lang w:val="sr-Cyrl-BA"/>
              </w:rPr>
              <w:t>.</w:t>
            </w:r>
          </w:p>
        </w:tc>
        <w:tc>
          <w:tcPr>
            <w:tcW w:w="3080" w:type="dxa"/>
            <w:noWrap/>
            <w:hideMark/>
          </w:tcPr>
          <w:p w14:paraId="24096172" w14:textId="77777777" w:rsidR="00112985" w:rsidRPr="0085443D" w:rsidRDefault="00112985" w:rsidP="00797BD6">
            <w:pPr>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Soja</w:t>
            </w:r>
          </w:p>
        </w:tc>
        <w:tc>
          <w:tcPr>
            <w:tcW w:w="2116" w:type="dxa"/>
            <w:noWrap/>
            <w:hideMark/>
          </w:tcPr>
          <w:p w14:paraId="16EC18ED"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95,00</w:t>
            </w:r>
          </w:p>
        </w:tc>
        <w:tc>
          <w:tcPr>
            <w:tcW w:w="2261" w:type="dxa"/>
            <w:noWrap/>
            <w:hideMark/>
          </w:tcPr>
          <w:p w14:paraId="7A84ECA6"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1</w:t>
            </w:r>
            <w:r w:rsidR="008916C0" w:rsidRPr="0085443D">
              <w:rPr>
                <w:color w:val="000000"/>
              </w:rPr>
              <w:t>.</w:t>
            </w:r>
            <w:r w:rsidRPr="0085443D">
              <w:rPr>
                <w:color w:val="000000"/>
              </w:rPr>
              <w:t>600,00</w:t>
            </w:r>
          </w:p>
        </w:tc>
        <w:tc>
          <w:tcPr>
            <w:tcW w:w="1474" w:type="dxa"/>
            <w:noWrap/>
            <w:hideMark/>
          </w:tcPr>
          <w:p w14:paraId="5877911E" w14:textId="77777777" w:rsidR="00112985" w:rsidRPr="0085443D" w:rsidRDefault="00112985" w:rsidP="00797BD6">
            <w:pPr>
              <w:jc w:val="right"/>
              <w:cnfStyle w:val="000000000000" w:firstRow="0" w:lastRow="0" w:firstColumn="0" w:lastColumn="0" w:oddVBand="0" w:evenVBand="0" w:oddHBand="0" w:evenHBand="0" w:firstRowFirstColumn="0" w:firstRowLastColumn="0" w:lastRowFirstColumn="0" w:lastRowLastColumn="0"/>
              <w:rPr>
                <w:color w:val="000000"/>
              </w:rPr>
            </w:pPr>
            <w:r w:rsidRPr="0085443D">
              <w:rPr>
                <w:color w:val="000000"/>
              </w:rPr>
              <w:t>152,00</w:t>
            </w:r>
          </w:p>
        </w:tc>
      </w:tr>
    </w:tbl>
    <w:p w14:paraId="6F7C696E" w14:textId="77777777" w:rsidR="00112985" w:rsidRDefault="00112985" w:rsidP="00112985">
      <w:pPr>
        <w:jc w:val="both"/>
        <w:rPr>
          <w:i/>
          <w:sz w:val="20"/>
          <w:lang w:val="sr-Cyrl-BA"/>
        </w:rPr>
      </w:pPr>
      <w:r w:rsidRPr="0085443D">
        <w:rPr>
          <w:i/>
          <w:sz w:val="20"/>
          <w:lang w:val="sr-Cyrl-BA"/>
        </w:rPr>
        <w:t xml:space="preserve">Podaci o zasijanim površinama i ostvarenim prinosima ratarskih kultura </w:t>
      </w:r>
      <w:r w:rsidR="008916C0" w:rsidRPr="0085443D">
        <w:rPr>
          <w:i/>
          <w:sz w:val="20"/>
        </w:rPr>
        <w:t>pre</w:t>
      </w:r>
      <w:r w:rsidRPr="0085443D">
        <w:rPr>
          <w:i/>
          <w:sz w:val="20"/>
          <w:lang w:val="sr-Cyrl-BA"/>
        </w:rPr>
        <w:t>uzeti su</w:t>
      </w:r>
      <w:r w:rsidR="008916C0" w:rsidRPr="0085443D">
        <w:rPr>
          <w:i/>
          <w:sz w:val="20"/>
        </w:rPr>
        <w:t xml:space="preserve"> </w:t>
      </w:r>
      <w:r w:rsidRPr="0085443D">
        <w:rPr>
          <w:i/>
          <w:sz w:val="20"/>
          <w:lang w:val="sr-Cyrl-BA"/>
        </w:rPr>
        <w:t>od Republičkog zavoda za statistiku Republike Srpske, iz Izvještaja o ostvarenim prinosima usjeva na području opštine Prnjavor za 2016. godinu, koji je pripremalo Odjeljenje za poljoprivredu, vodoprivredu i šumarstvo Opštinske uprave opštine Prnjavor.</w:t>
      </w:r>
    </w:p>
    <w:p w14:paraId="63DC2299" w14:textId="2831E55C" w:rsidR="00112985" w:rsidRDefault="00112985" w:rsidP="00112985">
      <w:pPr>
        <w:jc w:val="both"/>
        <w:rPr>
          <w:lang w:val="sr-Cyrl-BA"/>
        </w:rPr>
      </w:pPr>
      <w:r w:rsidRPr="0085443D">
        <w:rPr>
          <w:lang w:val="sr-Cyrl-BA"/>
        </w:rPr>
        <w:t>Prema evidenciji Odjeljenja za poljoprivredu, vodoprivredu i šumarstvo Opštinske uprave opštine Prnjavor na teritoriji opštine postoje sljedeći intenzivni zasadi voća i vinove loze.</w:t>
      </w:r>
    </w:p>
    <w:p w14:paraId="1D38BC10" w14:textId="42653FE0" w:rsidR="00A54F93" w:rsidRPr="00011E27" w:rsidRDefault="00011E27" w:rsidP="00112985">
      <w:pPr>
        <w:jc w:val="both"/>
      </w:pPr>
      <w:r>
        <w:rPr>
          <w:highlight w:val="cyan"/>
        </w:rPr>
        <w:t>Među</w:t>
      </w:r>
      <w:r w:rsidRPr="00011E27">
        <w:rPr>
          <w:highlight w:val="cyan"/>
        </w:rPr>
        <w:t xml:space="preserve"> zasadima voća </w:t>
      </w:r>
      <w:r>
        <w:rPr>
          <w:highlight w:val="cyan"/>
        </w:rPr>
        <w:t xml:space="preserve">su najveći zasadi </w:t>
      </w:r>
      <w:r w:rsidRPr="00011E27">
        <w:rPr>
          <w:highlight w:val="cyan"/>
        </w:rPr>
        <w:t>kruške (35 ha), lješnika (17 ha) i šljive (11 ha), a zastuplje</w:t>
      </w:r>
      <w:r w:rsidR="00472E02">
        <w:rPr>
          <w:highlight w:val="cyan"/>
        </w:rPr>
        <w:t>n</w:t>
      </w:r>
      <w:r w:rsidRPr="00011E27">
        <w:rPr>
          <w:highlight w:val="cyan"/>
        </w:rPr>
        <w:t>i su i zasadi oraha, maline, aronije, jabuke i drugi. Vinogradi obuhvataju 15 ha.</w:t>
      </w:r>
      <w:r>
        <w:t xml:space="preserve"> </w:t>
      </w:r>
    </w:p>
    <w:p w14:paraId="6BD3AECD" w14:textId="77777777" w:rsidR="00112985" w:rsidRPr="0085443D" w:rsidRDefault="00112985" w:rsidP="00112985">
      <w:pPr>
        <w:jc w:val="both"/>
      </w:pPr>
      <w:r w:rsidRPr="0085443D">
        <w:rPr>
          <w:lang w:val="sr-Cyrl-BA"/>
        </w:rPr>
        <w:t>Na osnovu podnesenih zahtjeva za podsticajna sredstva u 2016. godini Opštini Prnjavor, evidentirana je proizvodnja povrća u zaštićenim prostorima (plastenici, staklenici) na površini od 17.</w:t>
      </w:r>
      <w:r w:rsidRPr="0085443D">
        <w:t>7</w:t>
      </w:r>
      <w:r w:rsidRPr="0085443D">
        <w:rPr>
          <w:lang w:val="sr-Cyrl-BA"/>
        </w:rPr>
        <w:t xml:space="preserve">51,50 </w:t>
      </w:r>
      <w:r w:rsidRPr="0085443D">
        <w:t>m</w:t>
      </w:r>
      <w:r w:rsidRPr="0085443D">
        <w:rPr>
          <w:vertAlign w:val="superscript"/>
        </w:rPr>
        <w:t>2</w:t>
      </w:r>
      <w:r w:rsidRPr="0085443D">
        <w:t>.</w:t>
      </w:r>
      <w:r w:rsidR="008916C0" w:rsidRPr="0085443D">
        <w:t xml:space="preserve"> </w:t>
      </w:r>
    </w:p>
    <w:p w14:paraId="2952F92A" w14:textId="4A954EEC" w:rsidR="00112985" w:rsidRPr="0085443D" w:rsidRDefault="00112985" w:rsidP="00112985">
      <w:pPr>
        <w:jc w:val="both"/>
        <w:rPr>
          <w:i/>
          <w:sz w:val="20"/>
          <w:lang w:val="sr-Cyrl-BA"/>
        </w:rPr>
      </w:pPr>
      <w:r w:rsidRPr="00472E02">
        <w:rPr>
          <w:highlight w:val="cyan"/>
          <w:lang w:val="sr-Cyrl-BA"/>
        </w:rPr>
        <w:t>Pregled zasađenih površina i ostvarenih prinosa povrtarskih kultura na području opštine Prnjavor u 2016. godini</w:t>
      </w:r>
      <w:r w:rsidRPr="00472E02">
        <w:rPr>
          <w:highlight w:val="cyan"/>
        </w:rPr>
        <w:t xml:space="preserve"> </w:t>
      </w:r>
      <w:r w:rsidR="00472E02" w:rsidRPr="00472E02">
        <w:rPr>
          <w:highlight w:val="cyan"/>
        </w:rPr>
        <w:t>pokazuje da je najveća površina iskorištena za uzgoj krompira (105 ha), pasulja (76 ha), lubenice (19 ha), a zastupljeni su i paprika, krastavac, kupus, kelj, paradajz, luk, zelena salata i drugo (p</w:t>
      </w:r>
      <w:r w:rsidRPr="00472E02">
        <w:rPr>
          <w:highlight w:val="cyan"/>
        </w:rPr>
        <w:t>odaci o zasijanim površinama povrtarskih  kultura uzeti su od Republičkog zavoda za statistiku Republike Srpske, iz Izvještaja o ostvarenim prinosima us</w:t>
      </w:r>
      <w:r w:rsidR="00472E02" w:rsidRPr="00472E02">
        <w:rPr>
          <w:highlight w:val="cyan"/>
        </w:rPr>
        <w:t>jeva na području opštine Prnjavo</w:t>
      </w:r>
      <w:r w:rsidRPr="00472E02">
        <w:rPr>
          <w:highlight w:val="cyan"/>
        </w:rPr>
        <w:t>r za 2016. godinu, koji je pripremalo Odjeljenje za poljoprivredu, vodoprivredu i šumarstvo Opštinske uprave opštine Prnjavor</w:t>
      </w:r>
      <w:r w:rsidR="00472E02">
        <w:rPr>
          <w:highlight w:val="cyan"/>
        </w:rPr>
        <w:t>)</w:t>
      </w:r>
      <w:r w:rsidRPr="00472E02">
        <w:rPr>
          <w:highlight w:val="cyan"/>
        </w:rPr>
        <w:t>.</w:t>
      </w:r>
    </w:p>
    <w:p w14:paraId="6F2D7CA6" w14:textId="77777777" w:rsidR="0069553A" w:rsidRPr="0085443D" w:rsidRDefault="0069553A" w:rsidP="00216021">
      <w:pPr>
        <w:jc w:val="both"/>
        <w:rPr>
          <w:lang w:val="ru-RU"/>
        </w:rPr>
      </w:pPr>
    </w:p>
    <w:p w14:paraId="40EB8646" w14:textId="3D540F35" w:rsidR="006174DB" w:rsidRPr="0085443D" w:rsidRDefault="00216021" w:rsidP="00216021">
      <w:pPr>
        <w:jc w:val="both"/>
      </w:pPr>
      <w:r w:rsidRPr="0085443D">
        <w:rPr>
          <w:rFonts w:cs="Arial"/>
          <w:lang w:val="hr-HR"/>
        </w:rPr>
        <w:t xml:space="preserve">U proteklom periodu, broj zahtjeva za podsticaje je u porastu i kreće se od 477 (2010. godina) do 534 (2015. godina). </w:t>
      </w:r>
      <w:r w:rsidRPr="0085443D">
        <w:rPr>
          <w:rFonts w:cs="Arial"/>
        </w:rPr>
        <w:t xml:space="preserve">Broj zahtjeva za regresiranje kamata na poljoprivredne kredite, takođe, je porastao sa 9 (2010. godina) na 17 (2015. godina). </w:t>
      </w:r>
      <w:r w:rsidR="004339F8" w:rsidRPr="004339F8">
        <w:rPr>
          <w:highlight w:val="cyan"/>
        </w:rPr>
        <w:t>Od ukupno zaprimljenih zahtjeva za podsticaje i regresiranje kamata u posmatranom periodu je odobreno 3</w:t>
      </w:r>
      <w:r w:rsidR="004339F8">
        <w:rPr>
          <w:highlight w:val="cyan"/>
        </w:rPr>
        <w:t>.</w:t>
      </w:r>
      <w:r w:rsidR="004339F8" w:rsidRPr="004339F8">
        <w:rPr>
          <w:highlight w:val="cyan"/>
        </w:rPr>
        <w:t>136 pojedinačnih zahtjeva, odnosno za ovu svrhu je na godišnjem nivou realizovano oko 350.000,00</w:t>
      </w:r>
      <w:r w:rsidR="004339F8">
        <w:rPr>
          <w:highlight w:val="cyan"/>
        </w:rPr>
        <w:t xml:space="preserve"> </w:t>
      </w:r>
      <w:r w:rsidR="004339F8" w:rsidRPr="004339F8">
        <w:rPr>
          <w:highlight w:val="cyan"/>
        </w:rPr>
        <w:t>KM</w:t>
      </w:r>
      <w:r w:rsidR="00A638E6" w:rsidRPr="004339F8">
        <w:rPr>
          <w:highlight w:val="cyan"/>
        </w:rPr>
        <w:t>.</w:t>
      </w:r>
      <w:r w:rsidR="00A638E6">
        <w:rPr>
          <w:rFonts w:cs="Arial"/>
        </w:rPr>
        <w:t xml:space="preserve"> </w:t>
      </w:r>
      <w:r w:rsidRPr="0085443D">
        <w:rPr>
          <w:rFonts w:cs="Arial"/>
          <w:lang w:val="hr-HR"/>
        </w:rPr>
        <w:t xml:space="preserve">Povećan je broj zahtjeva poljoprivrednih proizvođača za podsticajima i </w:t>
      </w:r>
      <w:r w:rsidR="00472E02">
        <w:rPr>
          <w:rFonts w:cs="Arial"/>
          <w:lang w:val="hr-HR"/>
        </w:rPr>
        <w:t>regresiranjem kamata na kredite</w:t>
      </w:r>
      <w:r w:rsidRPr="0085443D">
        <w:rPr>
          <w:rFonts w:cs="Arial"/>
          <w:lang w:val="hr-HR"/>
        </w:rPr>
        <w:t>. Zahtjevi za regresiranje kamata na kredite odnosili su se za nabavku poljoprivredne mehanizacije, što je uticalo na poboljšanje kvaliteta i načina obrade poljoprivrednog zemljišta, odnosno osavremenjivanje tehnoloških proc</w:t>
      </w:r>
      <w:r w:rsidR="00DC5F98" w:rsidRPr="0085443D">
        <w:rPr>
          <w:rFonts w:cs="Arial"/>
          <w:lang w:val="hr-HR"/>
        </w:rPr>
        <w:t>esa na poljoprivrednim gazdinst</w:t>
      </w:r>
      <w:r w:rsidRPr="0085443D">
        <w:rPr>
          <w:rFonts w:cs="Arial"/>
          <w:lang w:val="hr-HR"/>
        </w:rPr>
        <w:t>vima.</w:t>
      </w:r>
      <w:r w:rsidR="00472E02">
        <w:rPr>
          <w:rFonts w:cs="Arial"/>
          <w:lang w:val="hr-HR"/>
        </w:rPr>
        <w:t xml:space="preserve"> </w:t>
      </w:r>
      <w:r w:rsidR="0049206F">
        <w:rPr>
          <w:rFonts w:cs="Arial"/>
        </w:rPr>
        <w:t>Međutim, a</w:t>
      </w:r>
      <w:r w:rsidR="00A638E6">
        <w:rPr>
          <w:rFonts w:cs="Arial"/>
        </w:rPr>
        <w:t xml:space="preserve">naliza </w:t>
      </w:r>
      <w:r w:rsidR="00DC5F98" w:rsidRPr="0085443D">
        <w:rPr>
          <w:rFonts w:cs="Arial"/>
        </w:rPr>
        <w:t>indikator</w:t>
      </w:r>
      <w:r w:rsidR="00A638E6">
        <w:rPr>
          <w:rFonts w:cs="Arial"/>
        </w:rPr>
        <w:t>a razvoja</w:t>
      </w:r>
      <w:r w:rsidR="00DC5F98" w:rsidRPr="0085443D">
        <w:rPr>
          <w:rFonts w:cs="Arial"/>
        </w:rPr>
        <w:t xml:space="preserve"> u sektoru poljoprivrede ne ukazuju na značajne pomake u proizvodnji ratarskih kultura i voćarstvu u proteklih 5 godina: oranične površine neznatno su povećane (za 0,2%); smanjila se proizvodnja jabuka (za 23%), šljiva (za 49%) i višanja (za 11%); proizvodnja ratarskih kultura  je nešto veća (pšenice za 16%, kukuruza za 19% i krompira za 47%). U poređenju sa podacima za Republiku Srpsku, može se zaključiti da je situacija slična u širem okruženju.</w:t>
      </w:r>
      <w:r w:rsidR="006E4C1B" w:rsidRPr="0085443D">
        <w:rPr>
          <w:rStyle w:val="FootnoteReference"/>
          <w:rFonts w:cs="Arial"/>
        </w:rPr>
        <w:footnoteReference w:id="10"/>
      </w:r>
      <w:r w:rsidR="001A6910" w:rsidRPr="0085443D">
        <w:rPr>
          <w:rFonts w:cs="Arial"/>
        </w:rPr>
        <w:t xml:space="preserve"> </w:t>
      </w:r>
      <w:r w:rsidR="006174DB" w:rsidRPr="00C46CBC">
        <w:rPr>
          <w:highlight w:val="cyan"/>
        </w:rPr>
        <w:t>Problemi kojima je potrebno posvetiti pažnju u narednom periodu su z</w:t>
      </w:r>
      <w:r w:rsidR="006174DB" w:rsidRPr="00C46CBC">
        <w:rPr>
          <w:highlight w:val="cyan"/>
          <w:lang w:val="ru-RU"/>
        </w:rPr>
        <w:t>astarjela poljoprivredna mehanizacija</w:t>
      </w:r>
      <w:r w:rsidR="00A237CD" w:rsidRPr="00C46CBC">
        <w:rPr>
          <w:highlight w:val="cyan"/>
        </w:rPr>
        <w:t xml:space="preserve"> (što može biti objašnjenje povećanog interesovanja za regresiranje kamata za nabavku opreme i nedostatka značajnijeg povećanja obima proizvodnje, jer su napori proizvođača usmjereni na održavanje proizvodnih sposobnosti više nego na razvoj)</w:t>
      </w:r>
      <w:r w:rsidR="006174DB" w:rsidRPr="00C46CBC">
        <w:rPr>
          <w:highlight w:val="cyan"/>
          <w:lang w:val="ru-RU"/>
        </w:rPr>
        <w:t>, usitnjenost posjeda i nedostatak funkcionalnih kooperativa/zadruga</w:t>
      </w:r>
      <w:r w:rsidR="00472E02" w:rsidRPr="00C46CBC">
        <w:rPr>
          <w:highlight w:val="cyan"/>
        </w:rPr>
        <w:t>, pošto su postojeće fokusirane prvenstveno na trgovačke poslove snabdijevanja poljoprivrednih proizvođača materijalima pri čemu ne pružaju ostale oblike podrške (savjetodavna, povezivanje sa kupcima i podrška u plasmanu proizvoda i slično)</w:t>
      </w:r>
      <w:r w:rsidR="006174DB" w:rsidRPr="00C46CBC">
        <w:rPr>
          <w:highlight w:val="cyan"/>
          <w:lang w:val="ru-RU"/>
        </w:rPr>
        <w:t xml:space="preserve">, odnosno </w:t>
      </w:r>
      <w:r w:rsidR="006174DB" w:rsidRPr="00C46CBC">
        <w:rPr>
          <w:highlight w:val="cyan"/>
        </w:rPr>
        <w:t>kapaciteta za otkup i povezivanje sa tržištem.</w:t>
      </w:r>
    </w:p>
    <w:p w14:paraId="3C0B941F" w14:textId="77777777" w:rsidR="0069553A" w:rsidRPr="0085443D" w:rsidRDefault="009C2C82" w:rsidP="003B497A">
      <w:pPr>
        <w:spacing w:after="100"/>
        <w:jc w:val="both"/>
        <w:rPr>
          <w:b/>
        </w:rPr>
      </w:pPr>
      <w:r w:rsidRPr="0085443D">
        <w:rPr>
          <w:b/>
        </w:rPr>
        <w:lastRenderedPageBreak/>
        <w:t>Stanje šumskih resursa</w:t>
      </w:r>
    </w:p>
    <w:p w14:paraId="233E3F5B" w14:textId="38EBDB11" w:rsidR="009C2C82" w:rsidRPr="0085443D" w:rsidRDefault="00ED0423" w:rsidP="000436EA">
      <w:pPr>
        <w:jc w:val="both"/>
        <w:rPr>
          <w:lang w:val="sr-Cyrl-BA"/>
        </w:rPr>
      </w:pPr>
      <w:r w:rsidRPr="0085443D">
        <w:t>U pogledu stanja šumskih resursa za šume u privatnoj svojini,  p</w:t>
      </w:r>
      <w:r w:rsidR="000436EA" w:rsidRPr="0085443D">
        <w:t>romjene u vezi sa stanjem šuma su prisutne i u</w:t>
      </w:r>
      <w:r w:rsidR="009C2C82" w:rsidRPr="0085443D">
        <w:rPr>
          <w:lang w:val="sr-Cyrl-BA"/>
        </w:rPr>
        <w:t>kupna drvna zaliha za cijelo područje opštine Prnjavor je smanjena u prosjeku za 15,32 m3/ha, a zapreminski prirast za 0,23 m3/ha.</w:t>
      </w:r>
      <w:r w:rsidR="000436EA" w:rsidRPr="0085443D">
        <w:t xml:space="preserve"> </w:t>
      </w:r>
      <w:r w:rsidR="009C2C82" w:rsidRPr="0085443D">
        <w:rPr>
          <w:lang w:val="sr-Cyrl-BA"/>
        </w:rPr>
        <w:t>Evidentirano je pošumljavanje goleti i šibljaka na površini od 33,41 ha i</w:t>
      </w:r>
      <w:r w:rsidR="000436EA" w:rsidRPr="0085443D">
        <w:rPr>
          <w:lang w:val="sr-Cyrl-BA"/>
        </w:rPr>
        <w:t xml:space="preserve"> </w:t>
      </w:r>
      <w:r w:rsidR="009C2C82" w:rsidRPr="0085443D">
        <w:rPr>
          <w:lang w:val="sr-Cyrl-BA"/>
        </w:rPr>
        <w:t>popunjavanje šumskih kultura (2,10 ha).</w:t>
      </w:r>
      <w:r w:rsidR="000436EA" w:rsidRPr="0085443D">
        <w:t xml:space="preserve"> Međutim, n</w:t>
      </w:r>
      <w:r w:rsidR="009C2C82" w:rsidRPr="0085443D">
        <w:rPr>
          <w:lang w:val="sr-Cyrl-BA"/>
        </w:rPr>
        <w:t>eplanske sječe su prisutne</w:t>
      </w:r>
      <w:r w:rsidR="000436EA" w:rsidRPr="0085443D">
        <w:t>, iako</w:t>
      </w:r>
      <w:r w:rsidR="009C2C82" w:rsidRPr="0085443D">
        <w:rPr>
          <w:lang w:val="sr-Cyrl-BA"/>
        </w:rPr>
        <w:t xml:space="preserve"> nisu zvanično evidentirane. Taksacioni podaci potvrđuju činjenicu da je bila izražena devastacija šuma u dužem periodu. Rezultat neplanskog gazdovanja šumama i </w:t>
      </w:r>
      <w:r w:rsidR="009563E8" w:rsidRPr="0085443D">
        <w:rPr>
          <w:lang w:val="sr-Cyrl-BA"/>
        </w:rPr>
        <w:t>devastacije su značajne površine</w:t>
      </w:r>
      <w:r w:rsidR="009C2C82" w:rsidRPr="0085443D">
        <w:rPr>
          <w:lang w:val="sr-Cyrl-BA"/>
        </w:rPr>
        <w:t xml:space="preserve"> (87,86 ha) koje su pretvorene u goleti. </w:t>
      </w:r>
      <w:r w:rsidR="000436EA" w:rsidRPr="0085443D">
        <w:t>U</w:t>
      </w:r>
      <w:r w:rsidR="009C2C82" w:rsidRPr="0085443D">
        <w:rPr>
          <w:lang w:val="sr-Cyrl-BA"/>
        </w:rPr>
        <w:t>češće izdanačkih šuma je oko 73%.</w:t>
      </w:r>
      <w:r w:rsidR="000436EA" w:rsidRPr="0085443D">
        <w:t xml:space="preserve"> </w:t>
      </w:r>
      <w:r w:rsidR="009C2C82" w:rsidRPr="0085443D">
        <w:rPr>
          <w:lang w:val="sr-Cyrl-BA"/>
        </w:rPr>
        <w:t xml:space="preserve">Sadašnje stanje šuma, struktura površina, prosječna veličina zalihe i zapreminskog prirasta po ha, kao i struktura vrsta drveća, debljinske i kvalitativne razdiobe i zdravstvenog stanja, ukazuje da se radi o šumama koje imaju nedovoljno iskorištene kvantitativne, kvalitativne i produkcione potencijale šuma </w:t>
      </w:r>
      <w:r w:rsidR="004339F8" w:rsidRPr="004339F8">
        <w:rPr>
          <w:highlight w:val="cyan"/>
        </w:rPr>
        <w:t>u privatnoj svojini na području opštine Prnjavor</w:t>
      </w:r>
      <w:r w:rsidR="009C2C82" w:rsidRPr="0085443D">
        <w:rPr>
          <w:lang w:val="sr-Cyrl-BA"/>
        </w:rPr>
        <w:t xml:space="preserve">, što u narednom uređajnom periodu treba poboljšati. Mjerama gazdovanja u narednom uređajnom periodu je moguće uz ostvarenje prinosa značajno unaprijediti stanje ovih šuma i </w:t>
      </w:r>
      <w:r w:rsidR="00434E35" w:rsidRPr="0085443D">
        <w:t xml:space="preserve">ostvariti </w:t>
      </w:r>
      <w:r w:rsidR="009C2C82" w:rsidRPr="0085443D">
        <w:rPr>
          <w:lang w:val="sr-Cyrl-BA"/>
        </w:rPr>
        <w:t>bolje korištenje potencijala staništa.</w:t>
      </w:r>
    </w:p>
    <w:p w14:paraId="26115496" w14:textId="43222211" w:rsidR="009C2C82" w:rsidRPr="0085443D" w:rsidRDefault="009C2C82" w:rsidP="000436EA">
      <w:pPr>
        <w:jc w:val="both"/>
      </w:pPr>
      <w:r w:rsidRPr="0085443D">
        <w:t xml:space="preserve">U narednom periodu je zbog praktičnih razloga, odnosno nemogućnosti razdvajanja ovih aktivnosti za šume </w:t>
      </w:r>
      <w:r w:rsidR="004339F8" w:rsidRPr="004339F8">
        <w:rPr>
          <w:highlight w:val="cyan"/>
        </w:rPr>
        <w:t>u privatnoj svojini i šume u svojini Republike Srpske, potrebno i dalje raditi zajedničke programe i planove</w:t>
      </w:r>
      <w:r w:rsidRPr="004339F8">
        <w:rPr>
          <w:highlight w:val="cyan"/>
        </w:rPr>
        <w:t>,</w:t>
      </w:r>
      <w:r w:rsidRPr="0085443D">
        <w:t xml:space="preserve"> ali je potrebno razdvojiti planirana sredstva za pojedine šume sa stanovišta vlasništva i evidencije troškova. </w:t>
      </w:r>
    </w:p>
    <w:p w14:paraId="01E6BFC2" w14:textId="77777777" w:rsidR="00ED0423" w:rsidRDefault="009C2C82" w:rsidP="00434E35">
      <w:pPr>
        <w:jc w:val="both"/>
      </w:pPr>
      <w:r w:rsidRPr="0085443D">
        <w:t>Akcenat je potrebno staviti na zaštitu šuma u prigradskim naseljima</w:t>
      </w:r>
      <w:r w:rsidR="00434E35" w:rsidRPr="0085443D">
        <w:t>,</w:t>
      </w:r>
      <w:r w:rsidRPr="0085443D">
        <w:t xml:space="preserve"> jer zbog njihove atraktivnosti često dolazi do krčenja šuma radi stvaranja građevinskog zemljišta. Važan faktor zaštite šuma jeste i ažurno i uredno vođenje evidencija o nastalim promjenam</w:t>
      </w:r>
      <w:r w:rsidR="00434E35" w:rsidRPr="0085443D">
        <w:t>a u šumama u privatnoj svojini.</w:t>
      </w:r>
    </w:p>
    <w:p w14:paraId="0C5730F9" w14:textId="77777777" w:rsidR="00DC6F56" w:rsidRDefault="00DC6F56" w:rsidP="00DC6F56">
      <w:pPr>
        <w:jc w:val="both"/>
        <w:rPr>
          <w:lang w:val="sr-Cyrl-BA"/>
        </w:rPr>
      </w:pPr>
      <w:r>
        <w:rPr>
          <w:lang w:val="sr-Cyrl-BA"/>
        </w:rPr>
        <w:t>Kada je u pitanju analiza stanja i dosadašnje gazdovanje</w:t>
      </w:r>
      <w:r w:rsidRPr="005D190F">
        <w:rPr>
          <w:lang w:val="sr-Cyrl-BA"/>
        </w:rPr>
        <w:t xml:space="preserve"> </w:t>
      </w:r>
      <w:r>
        <w:rPr>
          <w:lang w:val="sr-Cyrl-BA"/>
        </w:rPr>
        <w:t>šumama</w:t>
      </w:r>
      <w:r w:rsidRPr="005D190F">
        <w:rPr>
          <w:lang w:val="sr-Cyrl-BA"/>
        </w:rPr>
        <w:t xml:space="preserve"> </w:t>
      </w:r>
      <w:r>
        <w:rPr>
          <w:lang w:val="sr-Cyrl-BA"/>
        </w:rPr>
        <w:t>u</w:t>
      </w:r>
      <w:r w:rsidRPr="005D190F">
        <w:rPr>
          <w:lang w:val="sr-Cyrl-BA"/>
        </w:rPr>
        <w:t xml:space="preserve"> </w:t>
      </w:r>
      <w:r>
        <w:rPr>
          <w:lang w:val="sr-Cyrl-BA"/>
        </w:rPr>
        <w:t>državnoj</w:t>
      </w:r>
      <w:r w:rsidRPr="005D190F">
        <w:rPr>
          <w:lang w:val="sr-Cyrl-BA"/>
        </w:rPr>
        <w:t xml:space="preserve"> </w:t>
      </w:r>
      <w:r>
        <w:rPr>
          <w:lang w:val="sr-Cyrl-BA"/>
        </w:rPr>
        <w:t>svojini na području opštine Prnjavor, a na osnovu podatak</w:t>
      </w:r>
      <w:r w:rsidR="00034F8A">
        <w:rPr>
          <w:lang w:val="bs-Latn-BA"/>
        </w:rPr>
        <w:t>a</w:t>
      </w:r>
      <w:r>
        <w:rPr>
          <w:lang w:val="sr-Cyrl-BA"/>
        </w:rPr>
        <w:t xml:space="preserve"> preuzetih iz </w:t>
      </w:r>
      <w:r>
        <w:rPr>
          <w:lang w:val="sr-Cyrl-CS"/>
        </w:rPr>
        <w:t>Šumskoprivredne osnove za ,,Posavsko” šumskoprivredno</w:t>
      </w:r>
      <w:r>
        <w:rPr>
          <w:lang w:val="sr-Cyrl-BA"/>
        </w:rPr>
        <w:t xml:space="preserve"> područje za period 01.01.2013-31.12.2022.</w:t>
      </w:r>
      <w:r>
        <w:t xml:space="preserve"> </w:t>
      </w:r>
      <w:r>
        <w:rPr>
          <w:lang w:val="sr-Cyrl-BA"/>
        </w:rPr>
        <w:t>godine</w:t>
      </w:r>
      <w:r>
        <w:t>,</w:t>
      </w:r>
      <w:r>
        <w:rPr>
          <w:lang w:val="sr-Cyrl-BA"/>
        </w:rPr>
        <w:t xml:space="preserve"> stanje gazdovanja šumama</w:t>
      </w:r>
      <w:r>
        <w:t xml:space="preserve"> je sljedeće</w:t>
      </w:r>
      <w:r>
        <w:rPr>
          <w:lang w:val="sr-Cyrl-BA"/>
        </w:rPr>
        <w:t>:</w:t>
      </w:r>
    </w:p>
    <w:p w14:paraId="07FE7C7B" w14:textId="77777777" w:rsidR="00DC6F56" w:rsidRDefault="00DC6F56" w:rsidP="00DC6F56">
      <w:pPr>
        <w:ind w:firstLine="360"/>
        <w:jc w:val="both"/>
        <w:rPr>
          <w:sz w:val="23"/>
          <w:szCs w:val="23"/>
          <w:lang w:val="sr-Cyrl-CS"/>
        </w:rPr>
      </w:pPr>
      <w:r>
        <w:rPr>
          <w:sz w:val="23"/>
          <w:szCs w:val="23"/>
          <w:lang w:val="sr-Cyrl-CS"/>
        </w:rPr>
        <w:t>-</w:t>
      </w:r>
      <w:r>
        <w:rPr>
          <w:sz w:val="23"/>
          <w:szCs w:val="23"/>
        </w:rPr>
        <w:t>Ukupna površina visokih šuma sa prirodnom obnovom u opštini Prnjavor iznosi 7.864,46 ha.</w:t>
      </w:r>
    </w:p>
    <w:p w14:paraId="48FA31BF" w14:textId="77777777" w:rsidR="00DC6F56" w:rsidRDefault="00DC6F56" w:rsidP="00DC6F56">
      <w:pPr>
        <w:ind w:firstLine="360"/>
        <w:jc w:val="both"/>
        <w:rPr>
          <w:sz w:val="23"/>
          <w:szCs w:val="23"/>
          <w:lang w:val="sr-Cyrl-CS"/>
        </w:rPr>
      </w:pPr>
      <w:r>
        <w:rPr>
          <w:sz w:val="23"/>
          <w:szCs w:val="23"/>
          <w:lang w:val="sr-Cyrl-CS"/>
        </w:rPr>
        <w:t>-</w:t>
      </w:r>
      <w:r>
        <w:rPr>
          <w:sz w:val="23"/>
          <w:szCs w:val="23"/>
        </w:rPr>
        <w:t>Ukupna površina visokih degradiranih šuma u opštini Prnjavor iznosi 113,04 ha.</w:t>
      </w:r>
    </w:p>
    <w:p w14:paraId="41534A60" w14:textId="77777777" w:rsidR="00DC6F56" w:rsidRDefault="00DC6F56" w:rsidP="00DC6F56">
      <w:pPr>
        <w:ind w:firstLine="360"/>
        <w:jc w:val="both"/>
        <w:rPr>
          <w:sz w:val="23"/>
          <w:szCs w:val="23"/>
          <w:lang w:val="sr-Cyrl-CS"/>
        </w:rPr>
      </w:pPr>
      <w:r>
        <w:rPr>
          <w:sz w:val="23"/>
          <w:szCs w:val="23"/>
          <w:lang w:val="sr-Cyrl-CS"/>
        </w:rPr>
        <w:t>-</w:t>
      </w:r>
      <w:r>
        <w:rPr>
          <w:sz w:val="23"/>
          <w:szCs w:val="23"/>
        </w:rPr>
        <w:t>Ukupna površina šumskih kultura sa procjenjenom drvnom masom u opštini Prnjavor iznosi 1.450,88 ha, a ukupna površina ove kategorije iznosi 1.530,20 ha.</w:t>
      </w:r>
    </w:p>
    <w:p w14:paraId="33591D97" w14:textId="77777777" w:rsidR="00DC6F56" w:rsidRDefault="00DC6F56" w:rsidP="00DC6F56">
      <w:pPr>
        <w:ind w:firstLine="360"/>
        <w:jc w:val="both"/>
        <w:rPr>
          <w:sz w:val="23"/>
          <w:szCs w:val="23"/>
        </w:rPr>
      </w:pPr>
      <w:r>
        <w:rPr>
          <w:sz w:val="23"/>
          <w:szCs w:val="23"/>
          <w:lang w:val="sr-Cyrl-CS"/>
        </w:rPr>
        <w:t>-Ukupna</w:t>
      </w:r>
      <w:r w:rsidRPr="00630921">
        <w:rPr>
          <w:sz w:val="23"/>
          <w:szCs w:val="23"/>
          <w:lang w:val="sr-Cyrl-CS"/>
        </w:rPr>
        <w:t xml:space="preserve"> </w:t>
      </w:r>
      <w:r>
        <w:rPr>
          <w:sz w:val="23"/>
          <w:szCs w:val="23"/>
          <w:lang w:val="sr-Cyrl-CS"/>
        </w:rPr>
        <w:t>površina</w:t>
      </w:r>
      <w:r w:rsidRPr="00630921">
        <w:rPr>
          <w:sz w:val="23"/>
          <w:szCs w:val="23"/>
          <w:lang w:val="sr-Cyrl-CS"/>
        </w:rPr>
        <w:t xml:space="preserve"> </w:t>
      </w:r>
      <w:r>
        <w:rPr>
          <w:sz w:val="23"/>
          <w:szCs w:val="23"/>
          <w:lang w:val="sr-Cyrl-CS"/>
        </w:rPr>
        <w:t>izdanačkih</w:t>
      </w:r>
      <w:r w:rsidRPr="00630921">
        <w:rPr>
          <w:sz w:val="23"/>
          <w:szCs w:val="23"/>
          <w:lang w:val="sr-Cyrl-CS"/>
        </w:rPr>
        <w:t xml:space="preserve"> </w:t>
      </w:r>
      <w:r>
        <w:rPr>
          <w:sz w:val="23"/>
          <w:szCs w:val="23"/>
          <w:lang w:val="sr-Cyrl-CS"/>
        </w:rPr>
        <w:t>šuma</w:t>
      </w:r>
      <w:r w:rsidRPr="00630921">
        <w:rPr>
          <w:sz w:val="23"/>
          <w:szCs w:val="23"/>
          <w:lang w:val="sr-Cyrl-CS"/>
        </w:rPr>
        <w:t xml:space="preserve"> </w:t>
      </w:r>
      <w:r>
        <w:rPr>
          <w:sz w:val="23"/>
          <w:szCs w:val="23"/>
          <w:lang w:val="sr-Cyrl-CS"/>
        </w:rPr>
        <w:t>u</w:t>
      </w:r>
      <w:r w:rsidRPr="00630921">
        <w:rPr>
          <w:sz w:val="23"/>
          <w:szCs w:val="23"/>
          <w:lang w:val="sr-Cyrl-CS"/>
        </w:rPr>
        <w:t xml:space="preserve"> </w:t>
      </w:r>
      <w:r>
        <w:rPr>
          <w:sz w:val="23"/>
          <w:szCs w:val="23"/>
          <w:lang w:val="sr-Cyrl-CS"/>
        </w:rPr>
        <w:t>opštini</w:t>
      </w:r>
      <w:r w:rsidRPr="00630921">
        <w:rPr>
          <w:sz w:val="23"/>
          <w:szCs w:val="23"/>
          <w:lang w:val="sr-Cyrl-CS"/>
        </w:rPr>
        <w:t xml:space="preserve"> </w:t>
      </w:r>
      <w:r>
        <w:rPr>
          <w:sz w:val="23"/>
          <w:szCs w:val="23"/>
          <w:lang w:val="sr-Cyrl-CS"/>
        </w:rPr>
        <w:t>Prnjavor</w:t>
      </w:r>
      <w:r w:rsidRPr="00630921">
        <w:rPr>
          <w:sz w:val="23"/>
          <w:szCs w:val="23"/>
          <w:lang w:val="sr-Cyrl-CS"/>
        </w:rPr>
        <w:t xml:space="preserve"> </w:t>
      </w:r>
      <w:r>
        <w:rPr>
          <w:sz w:val="23"/>
          <w:szCs w:val="23"/>
          <w:lang w:val="sr-Cyrl-CS"/>
        </w:rPr>
        <w:t>iznosi 359,71 ha</w:t>
      </w:r>
      <w:r>
        <w:rPr>
          <w:sz w:val="23"/>
          <w:szCs w:val="23"/>
        </w:rPr>
        <w:t>.</w:t>
      </w:r>
    </w:p>
    <w:p w14:paraId="7CD10617" w14:textId="77777777" w:rsidR="00DC6F56" w:rsidRDefault="00DC6F56" w:rsidP="00DC6F56">
      <w:pPr>
        <w:ind w:firstLine="360"/>
        <w:jc w:val="both"/>
        <w:rPr>
          <w:sz w:val="23"/>
          <w:szCs w:val="23"/>
          <w:lang w:val="sr-Cyrl-CS"/>
        </w:rPr>
      </w:pPr>
      <w:r>
        <w:rPr>
          <w:sz w:val="23"/>
          <w:szCs w:val="23"/>
        </w:rPr>
        <w:t>- O</w:t>
      </w:r>
      <w:r>
        <w:rPr>
          <w:sz w:val="23"/>
          <w:szCs w:val="23"/>
          <w:lang w:val="sr-Cyrl-CS"/>
        </w:rPr>
        <w:t>stale</w:t>
      </w:r>
      <w:r w:rsidRPr="00630921">
        <w:rPr>
          <w:sz w:val="23"/>
          <w:szCs w:val="23"/>
          <w:lang w:val="sr-Cyrl-CS"/>
        </w:rPr>
        <w:t xml:space="preserve"> </w:t>
      </w:r>
      <w:r>
        <w:rPr>
          <w:sz w:val="23"/>
          <w:szCs w:val="23"/>
          <w:lang w:val="sr-Cyrl-CS"/>
        </w:rPr>
        <w:t>površine do ukupne površine šuma u državnom vlasništvu</w:t>
      </w:r>
      <w:r w:rsidRPr="00630921">
        <w:rPr>
          <w:sz w:val="23"/>
          <w:szCs w:val="23"/>
          <w:lang w:val="sr-Cyrl-CS"/>
        </w:rPr>
        <w:t xml:space="preserve"> </w:t>
      </w:r>
      <w:r>
        <w:rPr>
          <w:sz w:val="23"/>
          <w:szCs w:val="23"/>
          <w:lang w:val="sr-Cyrl-CS"/>
        </w:rPr>
        <w:t>otpadaju na</w:t>
      </w:r>
      <w:r w:rsidRPr="00630921">
        <w:rPr>
          <w:sz w:val="23"/>
          <w:szCs w:val="23"/>
          <w:lang w:val="sr-Cyrl-CS"/>
        </w:rPr>
        <w:t xml:space="preserve"> </w:t>
      </w:r>
      <w:r>
        <w:rPr>
          <w:sz w:val="23"/>
          <w:szCs w:val="23"/>
          <w:lang w:val="sr-Cyrl-CS"/>
        </w:rPr>
        <w:t>šume</w:t>
      </w:r>
      <w:r w:rsidRPr="00630921">
        <w:rPr>
          <w:sz w:val="23"/>
          <w:szCs w:val="23"/>
          <w:lang w:val="sr-Cyrl-CS"/>
        </w:rPr>
        <w:t xml:space="preserve"> </w:t>
      </w:r>
      <w:r>
        <w:rPr>
          <w:sz w:val="23"/>
          <w:szCs w:val="23"/>
          <w:lang w:val="sr-Cyrl-CS"/>
        </w:rPr>
        <w:t>nepodesne</w:t>
      </w:r>
      <w:r w:rsidRPr="00630921">
        <w:rPr>
          <w:sz w:val="23"/>
          <w:szCs w:val="23"/>
          <w:lang w:val="sr-Cyrl-CS"/>
        </w:rPr>
        <w:t xml:space="preserve"> </w:t>
      </w:r>
      <w:r>
        <w:rPr>
          <w:sz w:val="23"/>
          <w:szCs w:val="23"/>
          <w:lang w:val="sr-Cyrl-CS"/>
        </w:rPr>
        <w:t>za</w:t>
      </w:r>
      <w:r w:rsidRPr="00630921">
        <w:rPr>
          <w:sz w:val="23"/>
          <w:szCs w:val="23"/>
          <w:lang w:val="sr-Cyrl-CS"/>
        </w:rPr>
        <w:t xml:space="preserve"> </w:t>
      </w:r>
      <w:r>
        <w:rPr>
          <w:sz w:val="23"/>
          <w:szCs w:val="23"/>
          <w:lang w:val="sr-Cyrl-CS"/>
        </w:rPr>
        <w:t>gazdovanjei i na goleti podesn</w:t>
      </w:r>
      <w:r>
        <w:rPr>
          <w:sz w:val="23"/>
          <w:szCs w:val="23"/>
        </w:rPr>
        <w:t>e</w:t>
      </w:r>
      <w:r>
        <w:rPr>
          <w:sz w:val="23"/>
          <w:szCs w:val="23"/>
          <w:lang w:val="sr-Cyrl-CS"/>
        </w:rPr>
        <w:t xml:space="preserve"> za gazdovanje</w:t>
      </w:r>
      <w:r w:rsidRPr="00630921">
        <w:rPr>
          <w:sz w:val="23"/>
          <w:szCs w:val="23"/>
          <w:lang w:val="sr-Cyrl-CS"/>
        </w:rPr>
        <w:t>.</w:t>
      </w:r>
    </w:p>
    <w:p w14:paraId="79E39132" w14:textId="77777777" w:rsidR="00DC6F56" w:rsidRPr="00381602" w:rsidRDefault="00DC6F56" w:rsidP="00DC6F56">
      <w:pPr>
        <w:autoSpaceDE w:val="0"/>
        <w:autoSpaceDN w:val="0"/>
        <w:adjustRightInd w:val="0"/>
        <w:jc w:val="both"/>
        <w:rPr>
          <w:color w:val="000000"/>
          <w:sz w:val="23"/>
          <w:szCs w:val="23"/>
          <w:lang w:val="sr-Cyrl-BA"/>
        </w:rPr>
      </w:pPr>
      <w:r>
        <w:rPr>
          <w:color w:val="000000"/>
          <w:sz w:val="23"/>
          <w:szCs w:val="23"/>
          <w:lang w:val="sr-Cyrl-BA"/>
        </w:rPr>
        <w:t>Za</w:t>
      </w:r>
      <w:r w:rsidRPr="00381602">
        <w:rPr>
          <w:color w:val="000000"/>
          <w:sz w:val="23"/>
          <w:szCs w:val="23"/>
          <w:lang w:val="sr-Cyrl-BA"/>
        </w:rPr>
        <w:t xml:space="preserve"> </w:t>
      </w:r>
      <w:r>
        <w:rPr>
          <w:color w:val="000000"/>
          <w:sz w:val="23"/>
          <w:szCs w:val="23"/>
          <w:lang w:val="sr-Cyrl-BA"/>
        </w:rPr>
        <w:t>protekli</w:t>
      </w:r>
      <w:r w:rsidRPr="00381602">
        <w:rPr>
          <w:color w:val="000000"/>
          <w:sz w:val="23"/>
          <w:szCs w:val="23"/>
          <w:lang w:val="sr-Cyrl-BA"/>
        </w:rPr>
        <w:t xml:space="preserve"> </w:t>
      </w:r>
      <w:r>
        <w:rPr>
          <w:color w:val="000000"/>
          <w:sz w:val="23"/>
          <w:szCs w:val="23"/>
          <w:lang w:val="sr-Cyrl-BA"/>
        </w:rPr>
        <w:t>period</w:t>
      </w:r>
      <w:r w:rsidRPr="00381602">
        <w:rPr>
          <w:color w:val="000000"/>
          <w:sz w:val="23"/>
          <w:szCs w:val="23"/>
          <w:lang w:val="sr-Cyrl-BA"/>
        </w:rPr>
        <w:t xml:space="preserve"> </w:t>
      </w:r>
      <w:r>
        <w:rPr>
          <w:color w:val="000000"/>
          <w:sz w:val="23"/>
          <w:szCs w:val="23"/>
          <w:lang w:val="sr-Cyrl-BA"/>
        </w:rPr>
        <w:t>gazdovanja</w:t>
      </w:r>
      <w:r w:rsidRPr="00381602">
        <w:rPr>
          <w:color w:val="000000"/>
          <w:sz w:val="23"/>
          <w:szCs w:val="23"/>
          <w:lang w:val="sr-Cyrl-BA"/>
        </w:rPr>
        <w:t xml:space="preserve"> </w:t>
      </w:r>
      <w:r>
        <w:rPr>
          <w:color w:val="000000"/>
          <w:sz w:val="23"/>
          <w:szCs w:val="23"/>
          <w:lang w:val="sr-Cyrl-BA"/>
        </w:rPr>
        <w:t>šumama</w:t>
      </w:r>
      <w:r w:rsidRPr="00381602">
        <w:rPr>
          <w:color w:val="000000"/>
          <w:sz w:val="23"/>
          <w:szCs w:val="23"/>
          <w:lang w:val="sr-Cyrl-BA"/>
        </w:rPr>
        <w:t xml:space="preserve"> </w:t>
      </w:r>
      <w:r>
        <w:rPr>
          <w:color w:val="000000"/>
          <w:sz w:val="23"/>
          <w:szCs w:val="23"/>
          <w:lang w:val="sr-Cyrl-BA"/>
        </w:rPr>
        <w:t>ovog</w:t>
      </w:r>
      <w:r w:rsidRPr="00381602">
        <w:rPr>
          <w:color w:val="000000"/>
          <w:sz w:val="23"/>
          <w:szCs w:val="23"/>
          <w:lang w:val="sr-Cyrl-BA"/>
        </w:rPr>
        <w:t xml:space="preserve"> </w:t>
      </w:r>
      <w:r>
        <w:rPr>
          <w:color w:val="000000"/>
          <w:sz w:val="23"/>
          <w:szCs w:val="23"/>
          <w:lang w:val="sr-Cyrl-BA"/>
        </w:rPr>
        <w:t>područja</w:t>
      </w:r>
      <w:r w:rsidRPr="00381602">
        <w:rPr>
          <w:color w:val="000000"/>
          <w:sz w:val="23"/>
          <w:szCs w:val="23"/>
          <w:lang w:val="sr-Cyrl-BA"/>
        </w:rPr>
        <w:t xml:space="preserve"> </w:t>
      </w:r>
      <w:r>
        <w:rPr>
          <w:color w:val="000000"/>
          <w:sz w:val="23"/>
          <w:szCs w:val="23"/>
          <w:lang w:val="sr-Cyrl-BA"/>
        </w:rPr>
        <w:t>može</w:t>
      </w:r>
      <w:r w:rsidRPr="00381602">
        <w:rPr>
          <w:color w:val="000000"/>
          <w:sz w:val="23"/>
          <w:szCs w:val="23"/>
          <w:lang w:val="sr-Cyrl-BA"/>
        </w:rPr>
        <w:t xml:space="preserve"> </w:t>
      </w:r>
      <w:r>
        <w:rPr>
          <w:color w:val="000000"/>
          <w:sz w:val="23"/>
          <w:szCs w:val="23"/>
          <w:lang w:val="sr-Cyrl-BA"/>
        </w:rPr>
        <w:t>se</w:t>
      </w:r>
      <w:r w:rsidRPr="00381602">
        <w:rPr>
          <w:color w:val="000000"/>
          <w:sz w:val="23"/>
          <w:szCs w:val="23"/>
          <w:lang w:val="sr-Cyrl-BA"/>
        </w:rPr>
        <w:t xml:space="preserve"> </w:t>
      </w:r>
      <w:r>
        <w:rPr>
          <w:color w:val="000000"/>
          <w:sz w:val="23"/>
          <w:szCs w:val="23"/>
          <w:lang w:val="sr-Cyrl-BA"/>
        </w:rPr>
        <w:t>konstatovati</w:t>
      </w:r>
      <w:r w:rsidRPr="00381602">
        <w:rPr>
          <w:color w:val="000000"/>
          <w:sz w:val="23"/>
          <w:szCs w:val="23"/>
          <w:lang w:val="sr-Cyrl-BA"/>
        </w:rPr>
        <w:t xml:space="preserve"> </w:t>
      </w:r>
      <w:r>
        <w:rPr>
          <w:color w:val="000000"/>
          <w:sz w:val="23"/>
          <w:szCs w:val="23"/>
          <w:lang w:val="sr-Cyrl-BA"/>
        </w:rPr>
        <w:t>sljedeće</w:t>
      </w:r>
      <w:r w:rsidRPr="00381602">
        <w:rPr>
          <w:color w:val="000000"/>
          <w:sz w:val="23"/>
          <w:szCs w:val="23"/>
          <w:lang w:val="sr-Cyrl-BA"/>
        </w:rPr>
        <w:t xml:space="preserve">: </w:t>
      </w:r>
    </w:p>
    <w:p w14:paraId="2A461A49" w14:textId="2910990A" w:rsidR="00DC6F56" w:rsidRPr="00774240" w:rsidRDefault="00DC6F56" w:rsidP="009901CE">
      <w:pPr>
        <w:numPr>
          <w:ilvl w:val="0"/>
          <w:numId w:val="16"/>
        </w:numPr>
        <w:autoSpaceDE w:val="0"/>
        <w:autoSpaceDN w:val="0"/>
        <w:adjustRightInd w:val="0"/>
        <w:spacing w:after="47"/>
        <w:jc w:val="both"/>
        <w:rPr>
          <w:color w:val="000000"/>
          <w:highlight w:val="cyan"/>
          <w:lang w:val="sr-Cyrl-BA"/>
        </w:rPr>
      </w:pPr>
      <w:r w:rsidRPr="00774240">
        <w:rPr>
          <w:color w:val="000000"/>
          <w:highlight w:val="cyan"/>
          <w:lang w:val="sr-Cyrl-BA"/>
        </w:rPr>
        <w:t xml:space="preserve">U visokim šumama sa prirodnom obnovom primjenjivani su sistemi gazdovanja </w:t>
      </w:r>
      <w:r w:rsidR="00FD5444" w:rsidRPr="00774240">
        <w:rPr>
          <w:color w:val="000000"/>
          <w:highlight w:val="cyan"/>
        </w:rPr>
        <w:t>koji</w:t>
      </w:r>
      <w:r w:rsidRPr="00774240">
        <w:rPr>
          <w:color w:val="000000"/>
          <w:highlight w:val="cyan"/>
          <w:lang w:val="sr-Cyrl-BA"/>
        </w:rPr>
        <w:t xml:space="preserve"> u proteklom uređajnom periodu nisu dali </w:t>
      </w:r>
      <w:r w:rsidR="00FD5444" w:rsidRPr="00774240">
        <w:rPr>
          <w:color w:val="000000"/>
          <w:highlight w:val="cyan"/>
        </w:rPr>
        <w:t xml:space="preserve">očekivane </w:t>
      </w:r>
      <w:r w:rsidRPr="00774240">
        <w:rPr>
          <w:color w:val="000000"/>
          <w:highlight w:val="cyan"/>
          <w:lang w:val="sr-Cyrl-BA"/>
        </w:rPr>
        <w:t>rezultate i na to treba obratiti više pažnje</w:t>
      </w:r>
      <w:r w:rsidR="00FD5444" w:rsidRPr="00774240">
        <w:rPr>
          <w:color w:val="000000"/>
          <w:highlight w:val="cyan"/>
        </w:rPr>
        <w:t xml:space="preserve">, </w:t>
      </w:r>
    </w:p>
    <w:p w14:paraId="5E6B2461" w14:textId="25359001" w:rsidR="00DC6F56" w:rsidRPr="00774240" w:rsidRDefault="00DC6F56" w:rsidP="009901CE">
      <w:pPr>
        <w:numPr>
          <w:ilvl w:val="0"/>
          <w:numId w:val="16"/>
        </w:numPr>
        <w:autoSpaceDE w:val="0"/>
        <w:autoSpaceDN w:val="0"/>
        <w:adjustRightInd w:val="0"/>
        <w:jc w:val="both"/>
        <w:rPr>
          <w:color w:val="000000"/>
          <w:highlight w:val="cyan"/>
          <w:lang w:val="sr-Cyrl-BA"/>
        </w:rPr>
      </w:pPr>
      <w:r w:rsidRPr="00774240">
        <w:rPr>
          <w:color w:val="000000"/>
          <w:highlight w:val="cyan"/>
          <w:lang w:val="sr-Cyrl-BA"/>
        </w:rPr>
        <w:t xml:space="preserve">Nesporna površina šuma i šumskog zemljišta povećana je </w:t>
      </w:r>
      <w:r w:rsidR="00FD5444" w:rsidRPr="00774240">
        <w:rPr>
          <w:color w:val="000000"/>
          <w:highlight w:val="cyan"/>
          <w:lang w:val="sr-Cyrl-BA"/>
        </w:rPr>
        <w:t>za 190,24 h</w:t>
      </w:r>
      <w:r w:rsidR="00FD5444" w:rsidRPr="00774240">
        <w:rPr>
          <w:color w:val="000000"/>
          <w:highlight w:val="cyan"/>
        </w:rPr>
        <w:t>a, zbog</w:t>
      </w:r>
      <w:r w:rsidRPr="00774240">
        <w:rPr>
          <w:color w:val="000000"/>
          <w:highlight w:val="cyan"/>
          <w:lang w:val="sr-Cyrl-BA"/>
        </w:rPr>
        <w:t xml:space="preserve"> utvrđivanja nove linije posjeda na osnovu katastarskih planova</w:t>
      </w:r>
      <w:r w:rsidR="00FD5444" w:rsidRPr="00774240">
        <w:rPr>
          <w:color w:val="000000"/>
          <w:highlight w:val="cyan"/>
        </w:rPr>
        <w:t xml:space="preserve">, </w:t>
      </w:r>
      <w:r w:rsidRPr="00774240">
        <w:rPr>
          <w:color w:val="000000"/>
          <w:highlight w:val="cyan"/>
          <w:lang w:val="sr-Cyrl-BA"/>
        </w:rPr>
        <w:t xml:space="preserve"> </w:t>
      </w:r>
    </w:p>
    <w:p w14:paraId="4F5F907A" w14:textId="07C5E3AC" w:rsidR="00DC6F56" w:rsidRPr="00774240" w:rsidRDefault="00DC6F56" w:rsidP="009901CE">
      <w:pPr>
        <w:numPr>
          <w:ilvl w:val="0"/>
          <w:numId w:val="17"/>
        </w:numPr>
        <w:autoSpaceDE w:val="0"/>
        <w:autoSpaceDN w:val="0"/>
        <w:adjustRightInd w:val="0"/>
        <w:spacing w:after="47"/>
        <w:jc w:val="both"/>
        <w:rPr>
          <w:color w:val="000000"/>
          <w:highlight w:val="cyan"/>
          <w:lang w:val="sr-Cyrl-BA"/>
        </w:rPr>
      </w:pPr>
      <w:r w:rsidRPr="00774240">
        <w:rPr>
          <w:color w:val="000000"/>
          <w:highlight w:val="cyan"/>
          <w:lang w:val="sr-Cyrl-BA"/>
        </w:rPr>
        <w:t xml:space="preserve">U visokim šumama sa prirodnom obnovom je došlo do smanjenja </w:t>
      </w:r>
      <w:r w:rsidR="00FD5444" w:rsidRPr="00774240">
        <w:rPr>
          <w:color w:val="000000"/>
          <w:highlight w:val="cyan"/>
          <w:lang w:val="sr-Cyrl-BA"/>
        </w:rPr>
        <w:t>veličine drvne zalihe</w:t>
      </w:r>
      <w:r w:rsidRPr="00774240">
        <w:rPr>
          <w:color w:val="000000"/>
          <w:highlight w:val="cyan"/>
          <w:lang w:val="sr-Cyrl-BA"/>
        </w:rPr>
        <w:t xml:space="preserve"> od 3,8 m</w:t>
      </w:r>
      <w:r w:rsidRPr="00774240">
        <w:rPr>
          <w:color w:val="000000"/>
          <w:highlight w:val="cyan"/>
          <w:vertAlign w:val="superscript"/>
          <w:lang w:val="sr-Cyrl-BA"/>
        </w:rPr>
        <w:t>3</w:t>
      </w:r>
      <w:r w:rsidR="00FD5444" w:rsidRPr="00774240">
        <w:rPr>
          <w:color w:val="000000"/>
          <w:highlight w:val="cyan"/>
          <w:lang w:val="sr-Cyrl-BA"/>
        </w:rPr>
        <w:t>/ha</w:t>
      </w:r>
      <w:r w:rsidR="00FD5444" w:rsidRPr="00774240">
        <w:rPr>
          <w:color w:val="000000"/>
          <w:highlight w:val="cyan"/>
        </w:rPr>
        <w:t>, ali je</w:t>
      </w:r>
      <w:r w:rsidRPr="00774240">
        <w:rPr>
          <w:color w:val="000000"/>
          <w:highlight w:val="cyan"/>
          <w:lang w:val="sr-Cyrl-BA"/>
        </w:rPr>
        <w:t xml:space="preserve"> povećan zapreminski prirast ove kategorije za 0,28 m</w:t>
      </w:r>
      <w:r w:rsidRPr="00774240">
        <w:rPr>
          <w:color w:val="000000"/>
          <w:highlight w:val="cyan"/>
          <w:vertAlign w:val="superscript"/>
          <w:lang w:val="sr-Cyrl-BA"/>
        </w:rPr>
        <w:t>3</w:t>
      </w:r>
      <w:r w:rsidR="00FD5444" w:rsidRPr="00774240">
        <w:rPr>
          <w:color w:val="000000"/>
          <w:highlight w:val="cyan"/>
          <w:lang w:val="sr-Cyrl-BA"/>
        </w:rPr>
        <w:t>/ha</w:t>
      </w:r>
      <w:r w:rsidR="00FD5444" w:rsidRPr="00774240">
        <w:rPr>
          <w:color w:val="000000"/>
          <w:highlight w:val="cyan"/>
        </w:rPr>
        <w:t xml:space="preserve">, </w:t>
      </w:r>
    </w:p>
    <w:p w14:paraId="65DD0883" w14:textId="29E2105C" w:rsidR="00DC6F56" w:rsidRPr="00774240" w:rsidRDefault="00DC6F56" w:rsidP="009901CE">
      <w:pPr>
        <w:numPr>
          <w:ilvl w:val="0"/>
          <w:numId w:val="17"/>
        </w:numPr>
        <w:autoSpaceDE w:val="0"/>
        <w:autoSpaceDN w:val="0"/>
        <w:adjustRightInd w:val="0"/>
        <w:spacing w:after="47"/>
        <w:jc w:val="both"/>
        <w:rPr>
          <w:color w:val="000000"/>
          <w:highlight w:val="cyan"/>
          <w:lang w:val="sr-Cyrl-BA"/>
        </w:rPr>
      </w:pPr>
      <w:r w:rsidRPr="00774240">
        <w:rPr>
          <w:color w:val="000000"/>
          <w:highlight w:val="cyan"/>
          <w:lang w:val="sr-Cyrl-BA"/>
        </w:rPr>
        <w:t>Površina šumskih kultura je povećana za 69,3 hektara</w:t>
      </w:r>
      <w:r w:rsidR="00FD5444" w:rsidRPr="00774240">
        <w:rPr>
          <w:color w:val="000000"/>
          <w:highlight w:val="cyan"/>
        </w:rPr>
        <w:t>, a p</w:t>
      </w:r>
      <w:r w:rsidRPr="00774240">
        <w:rPr>
          <w:color w:val="000000"/>
          <w:highlight w:val="cyan"/>
          <w:lang w:val="sr-Cyrl-BA"/>
        </w:rPr>
        <w:t>ovršina visokih degradiranih šuma smanjena za 109,9 hektara</w:t>
      </w:r>
      <w:r w:rsidR="00FD5444" w:rsidRPr="00774240">
        <w:rPr>
          <w:color w:val="000000"/>
          <w:highlight w:val="cyan"/>
        </w:rPr>
        <w:t xml:space="preserve">, </w:t>
      </w:r>
    </w:p>
    <w:p w14:paraId="69AAC41D" w14:textId="0D6EDA87" w:rsidR="00DC6F56" w:rsidRPr="00774240" w:rsidRDefault="00FD5444" w:rsidP="009901CE">
      <w:pPr>
        <w:numPr>
          <w:ilvl w:val="0"/>
          <w:numId w:val="17"/>
        </w:numPr>
        <w:jc w:val="both"/>
        <w:rPr>
          <w:color w:val="000000"/>
          <w:sz w:val="23"/>
          <w:szCs w:val="23"/>
          <w:highlight w:val="cyan"/>
          <w:lang w:val="sr-Cyrl-BA"/>
        </w:rPr>
      </w:pPr>
      <w:r w:rsidRPr="00774240">
        <w:rPr>
          <w:color w:val="000000"/>
          <w:sz w:val="23"/>
          <w:szCs w:val="23"/>
          <w:highlight w:val="cyan"/>
        </w:rPr>
        <w:t>u pogledu</w:t>
      </w:r>
      <w:r w:rsidR="00DC6F56" w:rsidRPr="00774240">
        <w:rPr>
          <w:color w:val="000000"/>
          <w:sz w:val="23"/>
          <w:szCs w:val="23"/>
          <w:highlight w:val="cyan"/>
          <w:lang w:val="sr-Cyrl-BA"/>
        </w:rPr>
        <w:t xml:space="preserve"> ukupne drvne zapremine za šumske kulture po klasama starosti za područje opštine Prnjavor </w:t>
      </w:r>
      <w:r w:rsidR="00DC6F56" w:rsidRPr="00774240">
        <w:rPr>
          <w:color w:val="000000"/>
          <w:sz w:val="23"/>
          <w:szCs w:val="23"/>
          <w:highlight w:val="cyan"/>
        </w:rPr>
        <w:t>može se konstatovati</w:t>
      </w:r>
      <w:r w:rsidR="00DC6F56" w:rsidRPr="00774240">
        <w:rPr>
          <w:color w:val="000000"/>
          <w:sz w:val="23"/>
          <w:szCs w:val="23"/>
          <w:highlight w:val="cyan"/>
          <w:lang w:val="sr-Cyrl-BA"/>
        </w:rPr>
        <w:t xml:space="preserve"> da nije došlo do velikih promjena</w:t>
      </w:r>
      <w:r w:rsidRPr="00774240">
        <w:rPr>
          <w:color w:val="000000"/>
          <w:sz w:val="23"/>
          <w:szCs w:val="23"/>
          <w:highlight w:val="cyan"/>
        </w:rPr>
        <w:t xml:space="preserve">, </w:t>
      </w:r>
    </w:p>
    <w:p w14:paraId="57327BF4" w14:textId="35F53498" w:rsidR="00DC6F56" w:rsidRPr="00774240" w:rsidRDefault="00DC6F56" w:rsidP="009901CE">
      <w:pPr>
        <w:numPr>
          <w:ilvl w:val="0"/>
          <w:numId w:val="17"/>
        </w:numPr>
        <w:autoSpaceDE w:val="0"/>
        <w:autoSpaceDN w:val="0"/>
        <w:adjustRightInd w:val="0"/>
        <w:jc w:val="both"/>
        <w:rPr>
          <w:color w:val="000000"/>
          <w:highlight w:val="cyan"/>
          <w:lang w:val="sr-Cyrl-BA"/>
        </w:rPr>
      </w:pPr>
      <w:r w:rsidRPr="00774240">
        <w:rPr>
          <w:color w:val="000000"/>
          <w:highlight w:val="cyan"/>
          <w:lang w:val="sr-Cyrl-BA"/>
        </w:rPr>
        <w:t>obim sječa ni u jednoj kategoriji šuma nije ostvaren u planiranom obimu</w:t>
      </w:r>
      <w:r w:rsidR="00FD5444" w:rsidRPr="00774240">
        <w:rPr>
          <w:color w:val="000000"/>
          <w:highlight w:val="cyan"/>
        </w:rPr>
        <w:t xml:space="preserve"> - u </w:t>
      </w:r>
      <w:r w:rsidRPr="00774240">
        <w:rPr>
          <w:color w:val="000000"/>
          <w:highlight w:val="cyan"/>
          <w:lang w:val="sr-Cyrl-BA"/>
        </w:rPr>
        <w:t>šumskim kulturama obim sječa je vrlo mali (posebno za četinare), a u izdanačkim šumama je prekoračen</w:t>
      </w:r>
      <w:r w:rsidR="00FD5444" w:rsidRPr="00774240">
        <w:rPr>
          <w:color w:val="000000"/>
          <w:highlight w:val="cyan"/>
        </w:rPr>
        <w:t xml:space="preserve">, </w:t>
      </w:r>
    </w:p>
    <w:p w14:paraId="52D2EEC2" w14:textId="60583698" w:rsidR="00DC6F56" w:rsidRPr="00774240" w:rsidRDefault="00DC6F56" w:rsidP="009901CE">
      <w:pPr>
        <w:numPr>
          <w:ilvl w:val="0"/>
          <w:numId w:val="17"/>
        </w:numPr>
        <w:autoSpaceDE w:val="0"/>
        <w:autoSpaceDN w:val="0"/>
        <w:adjustRightInd w:val="0"/>
        <w:spacing w:after="47"/>
        <w:jc w:val="both"/>
        <w:rPr>
          <w:color w:val="000000"/>
          <w:highlight w:val="cyan"/>
          <w:lang w:val="sr-Cyrl-BA"/>
        </w:rPr>
      </w:pPr>
      <w:r w:rsidRPr="00774240">
        <w:rPr>
          <w:color w:val="000000"/>
          <w:highlight w:val="cyan"/>
          <w:lang w:val="sr-Cyrl-BA"/>
        </w:rPr>
        <w:t>izgrađeni su novi šumski kamionski putevi u dužini od 37,9 km.</w:t>
      </w:r>
    </w:p>
    <w:p w14:paraId="011E75E0" w14:textId="2D014C0A" w:rsidR="00DC6F56" w:rsidRPr="00774240" w:rsidRDefault="00DE6351" w:rsidP="009901CE">
      <w:pPr>
        <w:numPr>
          <w:ilvl w:val="0"/>
          <w:numId w:val="17"/>
        </w:numPr>
        <w:autoSpaceDE w:val="0"/>
        <w:autoSpaceDN w:val="0"/>
        <w:adjustRightInd w:val="0"/>
        <w:spacing w:after="47"/>
        <w:jc w:val="both"/>
        <w:rPr>
          <w:color w:val="000000"/>
          <w:highlight w:val="cyan"/>
          <w:lang w:val="sr-Cyrl-BA"/>
        </w:rPr>
      </w:pPr>
      <w:r w:rsidRPr="00774240">
        <w:rPr>
          <w:sz w:val="23"/>
          <w:szCs w:val="23"/>
          <w:highlight w:val="cyan"/>
        </w:rPr>
        <w:lastRenderedPageBreak/>
        <w:t>iz ugla</w:t>
      </w:r>
      <w:r w:rsidR="00DC6F56" w:rsidRPr="00774240">
        <w:rPr>
          <w:bCs/>
          <w:sz w:val="23"/>
          <w:szCs w:val="23"/>
          <w:highlight w:val="cyan"/>
        </w:rPr>
        <w:t xml:space="preserve"> korištenja sporednih šumskih proizvoda</w:t>
      </w:r>
      <w:r w:rsidR="00DC6F56" w:rsidRPr="00774240">
        <w:rPr>
          <w:sz w:val="23"/>
          <w:szCs w:val="23"/>
          <w:highlight w:val="cyan"/>
        </w:rPr>
        <w:t>, dominantnu ulogu ima proizvodnja i korištenje drveta, dok se ostalim proizvodima šume ne poklanja dovoljno pažnje, što treba promijeniti, jer savremena farmaceutska, kozmetička i prehrambena industrija sve više koriste proizvode šume</w:t>
      </w:r>
      <w:r w:rsidRPr="00774240">
        <w:rPr>
          <w:sz w:val="23"/>
          <w:szCs w:val="23"/>
          <w:highlight w:val="cyan"/>
        </w:rPr>
        <w:t>, a r</w:t>
      </w:r>
      <w:r w:rsidR="00DC6F56" w:rsidRPr="00774240">
        <w:rPr>
          <w:sz w:val="23"/>
          <w:szCs w:val="23"/>
          <w:highlight w:val="cyan"/>
        </w:rPr>
        <w:t xml:space="preserve">adnici sa ograničenom radnom sposobnošću, koji ne mogu obavljati svakodnevne poslove u šumarstvu, </w:t>
      </w:r>
      <w:r w:rsidRPr="00774240">
        <w:rPr>
          <w:sz w:val="23"/>
          <w:szCs w:val="23"/>
          <w:highlight w:val="cyan"/>
        </w:rPr>
        <w:t>mogu</w:t>
      </w:r>
      <w:r w:rsidR="00DC6F56" w:rsidRPr="00774240">
        <w:rPr>
          <w:sz w:val="23"/>
          <w:szCs w:val="23"/>
          <w:highlight w:val="cyan"/>
        </w:rPr>
        <w:t xml:space="preserve"> se obučiti za sakupljanje, sušenje i ostale poslove koji su vezani za sporedne šumske proizvode, a sve u cilju boljeg korištenja istih. </w:t>
      </w:r>
    </w:p>
    <w:p w14:paraId="7482069B" w14:textId="3A1B5117" w:rsidR="00FD5444" w:rsidRPr="00DF3FD1" w:rsidRDefault="00DE6351" w:rsidP="00FD5444">
      <w:pPr>
        <w:autoSpaceDE w:val="0"/>
        <w:autoSpaceDN w:val="0"/>
        <w:adjustRightInd w:val="0"/>
        <w:spacing w:after="47"/>
        <w:jc w:val="both"/>
        <w:rPr>
          <w:color w:val="000000"/>
          <w:lang w:val="sr-Cyrl-BA"/>
        </w:rPr>
      </w:pPr>
      <w:r w:rsidRPr="00DE6351">
        <w:rPr>
          <w:sz w:val="23"/>
          <w:szCs w:val="23"/>
          <w:highlight w:val="cyan"/>
        </w:rPr>
        <w:t>Značaj drvoprerade i proizvodnje namještaja na području opštine Prnjavor zahtijeva stalna unapređenja u šumarstvu, kako bi se loklani proizvođači kontinuirano snabdijevali kvalitetnom sirovinom.</w:t>
      </w:r>
    </w:p>
    <w:p w14:paraId="089CCD59" w14:textId="77777777" w:rsidR="00517377" w:rsidRPr="0085443D" w:rsidRDefault="00517377" w:rsidP="009C2C82">
      <w:pPr>
        <w:jc w:val="both"/>
        <w:rPr>
          <w:lang w:val="sr-Cyrl-BA"/>
        </w:rPr>
      </w:pPr>
    </w:p>
    <w:p w14:paraId="027E80F1" w14:textId="77777777" w:rsidR="003B497A" w:rsidRPr="0085443D" w:rsidRDefault="003B497A" w:rsidP="003B497A">
      <w:pPr>
        <w:spacing w:after="80"/>
        <w:rPr>
          <w:b/>
          <w:i/>
          <w:lang w:val="hr-HR"/>
        </w:rPr>
      </w:pPr>
      <w:r w:rsidRPr="0085443D">
        <w:rPr>
          <w:b/>
          <w:i/>
          <w:lang w:val="hr-HR"/>
        </w:rPr>
        <w:t>Tržište rada</w:t>
      </w:r>
    </w:p>
    <w:p w14:paraId="4A253F9B" w14:textId="77777777" w:rsidR="003A3D87" w:rsidRPr="0085443D" w:rsidRDefault="003A3D87" w:rsidP="003A3D87">
      <w:pPr>
        <w:rPr>
          <w:b/>
          <w:lang w:val="sr-Cyrl-BA"/>
        </w:rPr>
      </w:pPr>
      <w:r w:rsidRPr="0085443D">
        <w:rPr>
          <w:noProof/>
          <w:lang w:val="en-US"/>
        </w:rPr>
        <w:drawing>
          <wp:inline distT="0" distB="0" distL="0" distR="0" wp14:anchorId="556AC7EF" wp14:editId="7C85088B">
            <wp:extent cx="2907102" cy="1785476"/>
            <wp:effectExtent l="0" t="0" r="7620"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05F94A" w14:textId="77777777" w:rsidR="003A3D87" w:rsidRPr="0085443D" w:rsidRDefault="00A87F8E" w:rsidP="003B497A">
      <w:pPr>
        <w:spacing w:after="80"/>
        <w:rPr>
          <w:i/>
          <w:sz w:val="20"/>
          <w:lang w:val="hr-HR"/>
        </w:rPr>
      </w:pPr>
      <w:r w:rsidRPr="0085443D">
        <w:rPr>
          <w:i/>
          <w:sz w:val="20"/>
          <w:lang w:val="hr-HR"/>
        </w:rPr>
        <w:t>Izvor: ORT</w:t>
      </w:r>
    </w:p>
    <w:p w14:paraId="0A3941C3" w14:textId="77777777" w:rsidR="007920D9" w:rsidRPr="0085443D" w:rsidRDefault="004E341E" w:rsidP="00434E35">
      <w:pPr>
        <w:spacing w:after="80"/>
        <w:jc w:val="both"/>
        <w:rPr>
          <w:noProof/>
        </w:rPr>
      </w:pPr>
      <w:r w:rsidRPr="0085443D">
        <w:rPr>
          <w:noProof/>
          <w:lang w:val="en-US"/>
        </w:rPr>
        <w:t>Prema podacima ORT-a, broj nez</w:t>
      </w:r>
      <w:r w:rsidR="008E619C" w:rsidRPr="0085443D">
        <w:rPr>
          <w:noProof/>
          <w:lang w:val="en-US"/>
        </w:rPr>
        <w:t>aposlenih u 2012</w:t>
      </w:r>
      <w:r w:rsidRPr="0085443D">
        <w:rPr>
          <w:noProof/>
          <w:lang w:val="en-US"/>
        </w:rPr>
        <w:t>.</w:t>
      </w:r>
      <w:r w:rsidR="008E619C" w:rsidRPr="0085443D">
        <w:rPr>
          <w:noProof/>
          <w:lang w:val="en-US"/>
        </w:rPr>
        <w:t xml:space="preserve"> je </w:t>
      </w:r>
      <w:r w:rsidRPr="0085443D">
        <w:rPr>
          <w:noProof/>
          <w:lang w:val="en-US"/>
        </w:rPr>
        <w:t>1396 muš</w:t>
      </w:r>
      <w:r w:rsidR="008E619C" w:rsidRPr="0085443D">
        <w:rPr>
          <w:noProof/>
          <w:lang w:val="en-US"/>
        </w:rPr>
        <w:t xml:space="preserve">karaca i 1059 </w:t>
      </w:r>
      <w:r w:rsidR="008E619C" w:rsidRPr="0085443D">
        <w:rPr>
          <w:noProof/>
        </w:rPr>
        <w:t>žena. Podaci za period 2013-2016. su dati na sljedećem grafikonu:</w:t>
      </w:r>
    </w:p>
    <w:p w14:paraId="519C79F4" w14:textId="77777777" w:rsidR="008E619C" w:rsidRPr="0085443D" w:rsidRDefault="008E619C" w:rsidP="00CD6626">
      <w:pPr>
        <w:spacing w:after="80"/>
      </w:pPr>
      <w:r w:rsidRPr="0085443D">
        <w:rPr>
          <w:noProof/>
          <w:lang w:val="en-US"/>
        </w:rPr>
        <w:drawing>
          <wp:inline distT="0" distB="0" distL="0" distR="0" wp14:anchorId="16A5ABD8" wp14:editId="6CBE2DF2">
            <wp:extent cx="4371975" cy="2590800"/>
            <wp:effectExtent l="0" t="0" r="9525" b="0"/>
            <wp:docPr id="9" name="Chart 9">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FF749B" w14:textId="77777777" w:rsidR="00A87F8E" w:rsidRPr="0085443D" w:rsidRDefault="00A87F8E" w:rsidP="00CD6626">
      <w:pPr>
        <w:spacing w:after="80"/>
        <w:rPr>
          <w:i/>
          <w:sz w:val="20"/>
          <w:lang w:val="en-US"/>
        </w:rPr>
      </w:pPr>
      <w:r w:rsidRPr="0085443D">
        <w:rPr>
          <w:i/>
          <w:sz w:val="20"/>
          <w:lang w:val="en-US"/>
        </w:rPr>
        <w:t xml:space="preserve">Izvor: </w:t>
      </w:r>
      <w:r w:rsidR="0015731D" w:rsidRPr="0085443D">
        <w:rPr>
          <w:i/>
          <w:sz w:val="20"/>
          <w:lang w:val="en-US"/>
        </w:rPr>
        <w:t>JU Zavod za zapošljavanje RS, Filijala Banja Luka</w:t>
      </w:r>
      <w:r w:rsidRPr="0085443D">
        <w:rPr>
          <w:i/>
          <w:sz w:val="20"/>
          <w:lang w:val="en-US"/>
        </w:rPr>
        <w:t xml:space="preserve"> </w:t>
      </w:r>
    </w:p>
    <w:p w14:paraId="35295EE3" w14:textId="77777777" w:rsidR="00434E35" w:rsidRPr="0085443D" w:rsidRDefault="00434E35" w:rsidP="00CD6626">
      <w:pPr>
        <w:spacing w:after="80"/>
        <w:rPr>
          <w:lang w:val="en-US"/>
        </w:rPr>
      </w:pPr>
      <w:r w:rsidRPr="0085443D">
        <w:rPr>
          <w:lang w:val="en-US"/>
        </w:rPr>
        <w:t xml:space="preserve">Broj nezaposlenih u periodu 2014-2016. se smanjuje, dok je broj zaposlenih u porastu od 2012. do 2016. godine, ali je broj nezaposlenih još uvijek značajan i zapošljavanje treba da bude i dalje u fokusu. </w:t>
      </w:r>
    </w:p>
    <w:p w14:paraId="0F29F89E" w14:textId="77777777" w:rsidR="00BA0D81" w:rsidRPr="0085443D" w:rsidRDefault="00BA0D81" w:rsidP="005B089C">
      <w:pPr>
        <w:spacing w:after="100"/>
        <w:jc w:val="both"/>
        <w:rPr>
          <w:lang w:val="en-US"/>
        </w:rPr>
      </w:pPr>
      <w:r w:rsidRPr="0085443D">
        <w:rPr>
          <w:noProof/>
          <w:lang w:val="en-US"/>
        </w:rPr>
        <w:lastRenderedPageBreak/>
        <w:drawing>
          <wp:inline distT="0" distB="0" distL="0" distR="0" wp14:anchorId="56F58AC2" wp14:editId="24D91968">
            <wp:extent cx="5995035" cy="2216988"/>
            <wp:effectExtent l="0" t="0" r="5715" b="120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338A2E" w14:textId="77777777" w:rsidR="0015731D" w:rsidRPr="0085443D" w:rsidRDefault="0015731D" w:rsidP="0015731D">
      <w:pPr>
        <w:spacing w:after="80"/>
        <w:rPr>
          <w:i/>
          <w:sz w:val="20"/>
          <w:lang w:val="en-US"/>
        </w:rPr>
      </w:pPr>
      <w:r w:rsidRPr="0085443D">
        <w:rPr>
          <w:i/>
          <w:sz w:val="20"/>
          <w:lang w:val="en-US"/>
        </w:rPr>
        <w:t xml:space="preserve">Izvor: JU Zavod za zapošljavanje RS, Filijala Banja Luka </w:t>
      </w:r>
    </w:p>
    <w:p w14:paraId="4C48FD2C" w14:textId="77777777" w:rsidR="005B089C" w:rsidRPr="0085443D" w:rsidRDefault="005B089C" w:rsidP="005B089C">
      <w:pPr>
        <w:spacing w:after="100"/>
        <w:jc w:val="both"/>
      </w:pPr>
      <w:r w:rsidRPr="0085443D">
        <w:t xml:space="preserve">Prema kvalifikacionoj strukturi, najviše je kvalifikovanih radnika, a prema starosnoj u svakoj od posmatranih godina najveću grupu čine osobe od 20 do 24 godine starosti. </w:t>
      </w:r>
    </w:p>
    <w:p w14:paraId="2725617E" w14:textId="31B59EFA" w:rsidR="007E38B8" w:rsidRPr="0085443D" w:rsidRDefault="007E38B8" w:rsidP="005B089C">
      <w:pPr>
        <w:spacing w:after="100"/>
        <w:jc w:val="both"/>
      </w:pPr>
      <w:r w:rsidRPr="0085443D">
        <w:t>Dinamične promjene u privredi zahtijevaju i stalna prilagođavanja kadrova</w:t>
      </w:r>
      <w:r w:rsidR="00434E35" w:rsidRPr="0085443D">
        <w:t>, zbog čega je potrebna saradnja obrazovnih institucija i privrede</w:t>
      </w:r>
      <w:r w:rsidRPr="0085443D">
        <w:t xml:space="preserve">. </w:t>
      </w:r>
      <w:r w:rsidR="00774240" w:rsidRPr="00774240">
        <w:rPr>
          <w:highlight w:val="cyan"/>
        </w:rPr>
        <w:t>Naime, komunikacija sa privrednicima ukazuje na potrebe za kvalifikovanim kadrovima u metalskoj, drvnoj, prehrambenoj, ali i u drugim industrijama. Posebno se ističe važnost sticanja praktično primjenljivih znanja, što ukazuje na potrebu stalne saradnje obrazovnih institucija i privrede, naročito u izvođenju praktične nastave. Takođe, prisutna je i potreba za programima dokvalifikacije i prekvalifikacije, kako bi se blagovremeno odgovorilo na promjene u zahtjevima tržišta. Osim toga, potrebna je i promocija rada u industriji, kako bi se povećalo interesovanje učenika za ove smjerove u srednjim školama i na fakultetima.</w:t>
      </w:r>
      <w:r w:rsidR="00774240">
        <w:t xml:space="preserve"> </w:t>
      </w:r>
    </w:p>
    <w:p w14:paraId="6019F6D0" w14:textId="77777777" w:rsidR="003A3D87" w:rsidRPr="0085443D" w:rsidRDefault="003A3D87" w:rsidP="005B089C">
      <w:pPr>
        <w:spacing w:after="100"/>
        <w:jc w:val="both"/>
      </w:pPr>
    </w:p>
    <w:p w14:paraId="5F1E73CF" w14:textId="77777777" w:rsidR="003B497A" w:rsidRPr="0085443D" w:rsidRDefault="00D6421B" w:rsidP="003B497A">
      <w:pPr>
        <w:spacing w:after="80"/>
        <w:rPr>
          <w:b/>
          <w:u w:val="single"/>
        </w:rPr>
      </w:pPr>
      <w:hyperlink w:anchor="_Toc443859774" w:history="1">
        <w:r w:rsidR="003B497A" w:rsidRPr="0085443D">
          <w:rPr>
            <w:b/>
            <w:u w:val="single"/>
          </w:rPr>
          <w:t>Pr</w:t>
        </w:r>
        <w:r w:rsidR="007B3DED" w:rsidRPr="0085443D">
          <w:rPr>
            <w:b/>
            <w:u w:val="single"/>
          </w:rPr>
          <w:t>e</w:t>
        </w:r>
        <w:r w:rsidR="003B497A" w:rsidRPr="0085443D">
          <w:rPr>
            <w:b/>
            <w:u w:val="single"/>
          </w:rPr>
          <w:t>gl</w:t>
        </w:r>
        <w:r w:rsidR="007B3DED" w:rsidRPr="0085443D">
          <w:rPr>
            <w:b/>
            <w:u w:val="single"/>
          </w:rPr>
          <w:t>e</w:t>
        </w:r>
        <w:r w:rsidR="003B497A" w:rsidRPr="0085443D">
          <w:rPr>
            <w:b/>
            <w:u w:val="single"/>
          </w:rPr>
          <w:t>d st</w:t>
        </w:r>
        <w:r w:rsidR="007B3DED" w:rsidRPr="0085443D">
          <w:rPr>
            <w:b/>
            <w:u w:val="single"/>
          </w:rPr>
          <w:t>a</w:t>
        </w:r>
        <w:r w:rsidR="003B497A" w:rsidRPr="0085443D">
          <w:rPr>
            <w:b/>
            <w:u w:val="single"/>
          </w:rPr>
          <w:t>nj</w:t>
        </w:r>
        <w:r w:rsidR="007B3DED" w:rsidRPr="0085443D">
          <w:rPr>
            <w:b/>
            <w:u w:val="single"/>
          </w:rPr>
          <w:t>a</w:t>
        </w:r>
        <w:r w:rsidR="003B497A" w:rsidRPr="0085443D">
          <w:rPr>
            <w:b/>
            <w:u w:val="single"/>
          </w:rPr>
          <w:t xml:space="preserve"> i kr</w:t>
        </w:r>
        <w:r w:rsidR="007B3DED" w:rsidRPr="0085443D">
          <w:rPr>
            <w:b/>
            <w:u w:val="single"/>
          </w:rPr>
          <w:t>e</w:t>
        </w:r>
        <w:r w:rsidR="003B497A" w:rsidRPr="0085443D">
          <w:rPr>
            <w:b/>
            <w:u w:val="single"/>
          </w:rPr>
          <w:t>t</w:t>
        </w:r>
        <w:r w:rsidR="007B3DED" w:rsidRPr="0085443D">
          <w:rPr>
            <w:b/>
            <w:u w:val="single"/>
          </w:rPr>
          <w:t>a</w:t>
        </w:r>
        <w:r w:rsidR="003B497A" w:rsidRPr="0085443D">
          <w:rPr>
            <w:b/>
            <w:u w:val="single"/>
          </w:rPr>
          <w:t>nj</w:t>
        </w:r>
        <w:r w:rsidR="007B3DED" w:rsidRPr="0085443D">
          <w:rPr>
            <w:b/>
            <w:u w:val="single"/>
          </w:rPr>
          <w:t>a</w:t>
        </w:r>
        <w:r w:rsidR="003B497A" w:rsidRPr="0085443D">
          <w:rPr>
            <w:b/>
            <w:u w:val="single"/>
          </w:rPr>
          <w:t xml:space="preserve"> u </w:t>
        </w:r>
        <w:r w:rsidR="007B3DED" w:rsidRPr="0085443D">
          <w:rPr>
            <w:b/>
            <w:u w:val="single"/>
          </w:rPr>
          <w:t>o</w:t>
        </w:r>
        <w:r w:rsidR="003B497A" w:rsidRPr="0085443D">
          <w:rPr>
            <w:b/>
            <w:u w:val="single"/>
          </w:rPr>
          <w:t>bl</w:t>
        </w:r>
        <w:r w:rsidR="007B3DED" w:rsidRPr="0085443D">
          <w:rPr>
            <w:b/>
            <w:u w:val="single"/>
          </w:rPr>
          <w:t>a</w:t>
        </w:r>
        <w:r w:rsidR="003B497A" w:rsidRPr="0085443D">
          <w:rPr>
            <w:b/>
            <w:u w:val="single"/>
          </w:rPr>
          <w:t>sti društv</w:t>
        </w:r>
        <w:r w:rsidR="007B3DED" w:rsidRPr="0085443D">
          <w:rPr>
            <w:b/>
            <w:u w:val="single"/>
          </w:rPr>
          <w:t>e</w:t>
        </w:r>
        <w:r w:rsidR="003B497A" w:rsidRPr="0085443D">
          <w:rPr>
            <w:b/>
            <w:u w:val="single"/>
          </w:rPr>
          <w:t>n</w:t>
        </w:r>
        <w:r w:rsidR="007B3DED" w:rsidRPr="0085443D">
          <w:rPr>
            <w:b/>
            <w:u w:val="single"/>
          </w:rPr>
          <w:t>o</w:t>
        </w:r>
        <w:r w:rsidR="003B497A" w:rsidRPr="0085443D">
          <w:rPr>
            <w:b/>
            <w:u w:val="single"/>
          </w:rPr>
          <w:t>g r</w:t>
        </w:r>
        <w:r w:rsidR="007B3DED" w:rsidRPr="0085443D">
          <w:rPr>
            <w:b/>
            <w:u w:val="single"/>
          </w:rPr>
          <w:t>a</w:t>
        </w:r>
        <w:r w:rsidR="003B497A" w:rsidRPr="0085443D">
          <w:rPr>
            <w:b/>
            <w:u w:val="single"/>
          </w:rPr>
          <w:t>zv</w:t>
        </w:r>
        <w:r w:rsidR="007B3DED" w:rsidRPr="0085443D">
          <w:rPr>
            <w:b/>
            <w:u w:val="single"/>
          </w:rPr>
          <w:t>oja</w:t>
        </w:r>
      </w:hyperlink>
    </w:p>
    <w:p w14:paraId="2E4DBBC5" w14:textId="77777777" w:rsidR="003B497A" w:rsidRPr="0085443D" w:rsidRDefault="003B497A" w:rsidP="003B497A">
      <w:pPr>
        <w:spacing w:after="80"/>
        <w:rPr>
          <w:b/>
          <w:i/>
        </w:rPr>
      </w:pPr>
    </w:p>
    <w:p w14:paraId="772939CC" w14:textId="77777777" w:rsidR="003B497A" w:rsidRPr="0085443D" w:rsidRDefault="003B497A" w:rsidP="003B497A">
      <w:pPr>
        <w:spacing w:after="80"/>
        <w:rPr>
          <w:b/>
          <w:i/>
        </w:rPr>
      </w:pPr>
      <w:r w:rsidRPr="0085443D">
        <w:rPr>
          <w:b/>
          <w:i/>
        </w:rPr>
        <w:t>Stanje administrativnih usluga lokalne samouprave - struktura (polna i obrazovna) zaposlenih u JLS</w:t>
      </w:r>
    </w:p>
    <w:p w14:paraId="039B4106" w14:textId="42F28B9D" w:rsidR="0003222C" w:rsidRPr="001A1533" w:rsidRDefault="007B3DED" w:rsidP="00A801FC">
      <w:pPr>
        <w:spacing w:after="100"/>
        <w:jc w:val="both"/>
        <w:rPr>
          <w:highlight w:val="cyan"/>
        </w:rPr>
      </w:pPr>
      <w:r w:rsidRPr="001A1533">
        <w:rPr>
          <w:highlight w:val="cyan"/>
        </w:rPr>
        <w:t>Na</w:t>
      </w:r>
      <w:r w:rsidR="0003222C" w:rsidRPr="001A1533">
        <w:rPr>
          <w:highlight w:val="cyan"/>
        </w:rPr>
        <w:t xml:space="preserve"> </w:t>
      </w:r>
      <w:r w:rsidRPr="001A1533">
        <w:rPr>
          <w:highlight w:val="cyan"/>
        </w:rPr>
        <w:t>dan</w:t>
      </w:r>
      <w:r w:rsidR="0003222C" w:rsidRPr="001A1533">
        <w:rPr>
          <w:highlight w:val="cyan"/>
        </w:rPr>
        <w:t xml:space="preserve"> 31.12.2016. </w:t>
      </w:r>
      <w:r w:rsidRPr="001A1533">
        <w:rPr>
          <w:highlight w:val="cyan"/>
        </w:rPr>
        <w:t>godine</w:t>
      </w:r>
      <w:r w:rsidR="0003222C" w:rsidRPr="001A1533">
        <w:rPr>
          <w:highlight w:val="cyan"/>
        </w:rPr>
        <w:t xml:space="preserve"> </w:t>
      </w:r>
      <w:r w:rsidRPr="001A1533">
        <w:rPr>
          <w:highlight w:val="cyan"/>
        </w:rPr>
        <w:t>u</w:t>
      </w:r>
      <w:r w:rsidR="0003222C" w:rsidRPr="001A1533">
        <w:rPr>
          <w:highlight w:val="cyan"/>
        </w:rPr>
        <w:t xml:space="preserve"> O</w:t>
      </w:r>
      <w:r w:rsidRPr="001A1533">
        <w:rPr>
          <w:highlight w:val="cyan"/>
        </w:rPr>
        <w:t>pštinskoj</w:t>
      </w:r>
      <w:r w:rsidR="0003222C" w:rsidRPr="001A1533">
        <w:rPr>
          <w:highlight w:val="cyan"/>
        </w:rPr>
        <w:t xml:space="preserve"> </w:t>
      </w:r>
      <w:r w:rsidRPr="001A1533">
        <w:rPr>
          <w:highlight w:val="cyan"/>
        </w:rPr>
        <w:t>upravi</w:t>
      </w:r>
      <w:r w:rsidR="0003222C" w:rsidRPr="001A1533">
        <w:rPr>
          <w:highlight w:val="cyan"/>
        </w:rPr>
        <w:t xml:space="preserve"> </w:t>
      </w:r>
      <w:r w:rsidRPr="001A1533">
        <w:rPr>
          <w:highlight w:val="cyan"/>
        </w:rPr>
        <w:t>opštine</w:t>
      </w:r>
      <w:r w:rsidR="0003222C" w:rsidRPr="001A1533">
        <w:rPr>
          <w:highlight w:val="cyan"/>
        </w:rPr>
        <w:t xml:space="preserve"> </w:t>
      </w:r>
      <w:r w:rsidRPr="001A1533">
        <w:rPr>
          <w:highlight w:val="cyan"/>
        </w:rPr>
        <w:t>Prnjavor</w:t>
      </w:r>
      <w:r w:rsidR="0003222C" w:rsidRPr="001A1533">
        <w:rPr>
          <w:highlight w:val="cyan"/>
        </w:rPr>
        <w:t xml:space="preserve"> </w:t>
      </w:r>
      <w:r w:rsidRPr="001A1533">
        <w:rPr>
          <w:highlight w:val="cyan"/>
        </w:rPr>
        <w:t>evidentirano</w:t>
      </w:r>
      <w:r w:rsidR="0003222C" w:rsidRPr="001A1533">
        <w:rPr>
          <w:highlight w:val="cyan"/>
        </w:rPr>
        <w:t xml:space="preserve"> </w:t>
      </w:r>
      <w:r w:rsidRPr="001A1533">
        <w:rPr>
          <w:highlight w:val="cyan"/>
        </w:rPr>
        <w:t>je</w:t>
      </w:r>
      <w:r w:rsidR="0003222C" w:rsidRPr="001A1533">
        <w:rPr>
          <w:highlight w:val="cyan"/>
        </w:rPr>
        <w:t xml:space="preserve"> </w:t>
      </w:r>
      <w:r w:rsidRPr="001A1533">
        <w:rPr>
          <w:highlight w:val="cyan"/>
        </w:rPr>
        <w:t>ukupno</w:t>
      </w:r>
      <w:r w:rsidR="0003222C" w:rsidRPr="001A1533">
        <w:rPr>
          <w:highlight w:val="cyan"/>
        </w:rPr>
        <w:t xml:space="preserve"> 157 </w:t>
      </w:r>
      <w:r w:rsidRPr="001A1533">
        <w:rPr>
          <w:highlight w:val="cyan"/>
        </w:rPr>
        <w:t>zaposlenih</w:t>
      </w:r>
      <w:r w:rsidR="0003222C" w:rsidRPr="001A1533">
        <w:rPr>
          <w:highlight w:val="cyan"/>
        </w:rPr>
        <w:t xml:space="preserve"> </w:t>
      </w:r>
      <w:r w:rsidRPr="001A1533">
        <w:rPr>
          <w:highlight w:val="cyan"/>
        </w:rPr>
        <w:t>službenika</w:t>
      </w:r>
      <w:r w:rsidR="0003222C" w:rsidRPr="001A1533">
        <w:rPr>
          <w:highlight w:val="cyan"/>
        </w:rPr>
        <w:t xml:space="preserve">, </w:t>
      </w:r>
      <w:r w:rsidRPr="001A1533">
        <w:rPr>
          <w:highlight w:val="cyan"/>
        </w:rPr>
        <w:t>tehničkih</w:t>
      </w:r>
      <w:r w:rsidR="0003222C" w:rsidRPr="001A1533">
        <w:rPr>
          <w:highlight w:val="cyan"/>
        </w:rPr>
        <w:t xml:space="preserve"> </w:t>
      </w:r>
      <w:r w:rsidRPr="001A1533">
        <w:rPr>
          <w:highlight w:val="cyan"/>
        </w:rPr>
        <w:t>i</w:t>
      </w:r>
      <w:r w:rsidR="0003222C" w:rsidRPr="001A1533">
        <w:rPr>
          <w:highlight w:val="cyan"/>
        </w:rPr>
        <w:t xml:space="preserve"> </w:t>
      </w:r>
      <w:r w:rsidRPr="001A1533">
        <w:rPr>
          <w:highlight w:val="cyan"/>
        </w:rPr>
        <w:t>pomoćnih</w:t>
      </w:r>
      <w:r w:rsidR="0003222C" w:rsidRPr="001A1533">
        <w:rPr>
          <w:highlight w:val="cyan"/>
        </w:rPr>
        <w:t xml:space="preserve"> </w:t>
      </w:r>
      <w:r w:rsidRPr="001A1533">
        <w:rPr>
          <w:highlight w:val="cyan"/>
        </w:rPr>
        <w:t>radnika</w:t>
      </w:r>
      <w:r w:rsidR="0003222C" w:rsidRPr="001A1533">
        <w:rPr>
          <w:highlight w:val="cyan"/>
        </w:rPr>
        <w:t xml:space="preserve"> </w:t>
      </w:r>
      <w:r w:rsidRPr="001A1533">
        <w:rPr>
          <w:highlight w:val="cyan"/>
        </w:rPr>
        <w:t>i</w:t>
      </w:r>
      <w:r w:rsidR="0003222C" w:rsidRPr="001A1533">
        <w:rPr>
          <w:highlight w:val="cyan"/>
        </w:rPr>
        <w:t xml:space="preserve"> </w:t>
      </w:r>
      <w:r w:rsidRPr="001A1533">
        <w:rPr>
          <w:highlight w:val="cyan"/>
        </w:rPr>
        <w:t>funkcionera</w:t>
      </w:r>
      <w:r w:rsidR="001A1533" w:rsidRPr="001A1533">
        <w:rPr>
          <w:highlight w:val="cyan"/>
        </w:rPr>
        <w:t>, koji raspolažu potrebnim znanjima i iskustv</w:t>
      </w:r>
      <w:r w:rsidR="001A1533">
        <w:rPr>
          <w:highlight w:val="cyan"/>
        </w:rPr>
        <w:t>i</w:t>
      </w:r>
      <w:r w:rsidR="001A1533" w:rsidRPr="001A1533">
        <w:rPr>
          <w:highlight w:val="cyan"/>
        </w:rPr>
        <w:t>m</w:t>
      </w:r>
      <w:r w:rsidR="001A1533">
        <w:rPr>
          <w:highlight w:val="cyan"/>
        </w:rPr>
        <w:t>a</w:t>
      </w:r>
      <w:r w:rsidR="001A1533" w:rsidRPr="001A1533">
        <w:rPr>
          <w:highlight w:val="cyan"/>
        </w:rPr>
        <w:t xml:space="preserve"> za pružanje kvalitetnih usluga građanima i privrednicima. Takođe, zaposleni posjeduju iskustvo u pripremi i implementaciji razvojnih projekata finansiranih donatorskim sredstvima. </w:t>
      </w:r>
    </w:p>
    <w:p w14:paraId="6D97AED2" w14:textId="43CAC0D6" w:rsidR="001A1533" w:rsidRDefault="001A1533" w:rsidP="00A801FC">
      <w:pPr>
        <w:spacing w:after="100"/>
        <w:jc w:val="both"/>
      </w:pPr>
      <w:r w:rsidRPr="001A1533">
        <w:rPr>
          <w:highlight w:val="cyan"/>
        </w:rPr>
        <w:t>U narednom periodu je potrebno dalje unapređenje opremljenosti organa uprave, unapređenje pristupa u upravljanju imovinom, kao i dalje unapređenje komunikacije sa privredom i nevladinim sektorom.</w:t>
      </w:r>
      <w:r>
        <w:t xml:space="preserve"> </w:t>
      </w:r>
    </w:p>
    <w:p w14:paraId="06B20A1E" w14:textId="77777777" w:rsidR="0003222C" w:rsidRPr="0085443D" w:rsidRDefault="0003222C" w:rsidP="0003222C">
      <w:pPr>
        <w:rPr>
          <w:lang w:val="sr-Cyrl-CS"/>
        </w:rPr>
      </w:pPr>
    </w:p>
    <w:p w14:paraId="773AD352" w14:textId="77777777" w:rsidR="003B497A" w:rsidRPr="0085443D" w:rsidRDefault="003B497A" w:rsidP="003B497A">
      <w:pPr>
        <w:spacing w:after="80"/>
        <w:rPr>
          <w:b/>
          <w:i/>
        </w:rPr>
      </w:pPr>
      <w:r w:rsidRPr="0085443D">
        <w:rPr>
          <w:b/>
          <w:i/>
        </w:rPr>
        <w:t>Struktura nevladinih organizacija /udruženja</w:t>
      </w:r>
    </w:p>
    <w:p w14:paraId="26C9FA5C" w14:textId="2409D11F" w:rsidR="00F423CA" w:rsidRPr="0085443D" w:rsidRDefault="00FD7430" w:rsidP="008D73D7">
      <w:pPr>
        <w:spacing w:after="100"/>
        <w:jc w:val="both"/>
      </w:pPr>
      <w:r w:rsidRPr="0085443D">
        <w:t>Na području opštine</w:t>
      </w:r>
      <w:r w:rsidR="00AF25C2" w:rsidRPr="0085443D">
        <w:t xml:space="preserve"> </w:t>
      </w:r>
      <w:r w:rsidRPr="0085443D">
        <w:t>Prnjavor registrovan</w:t>
      </w:r>
      <w:r w:rsidR="008D73D7" w:rsidRPr="0085443D">
        <w:t>e</w:t>
      </w:r>
      <w:r w:rsidRPr="0085443D">
        <w:t xml:space="preserve"> </w:t>
      </w:r>
      <w:r w:rsidR="008D73D7" w:rsidRPr="0085443D">
        <w:t>su</w:t>
      </w:r>
      <w:r w:rsidRPr="0085443D">
        <w:t xml:space="preserve"> </w:t>
      </w:r>
      <w:r w:rsidR="00A37621" w:rsidRPr="00A37621">
        <w:rPr>
          <w:highlight w:val="cyan"/>
        </w:rPr>
        <w:t>132</w:t>
      </w:r>
      <w:r w:rsidRPr="0085443D">
        <w:t xml:space="preserve"> nevladine organizacija prema evidenciji Ministarstva uprave i lokalne samouprave</w:t>
      </w:r>
      <w:r w:rsidR="00AF25C2" w:rsidRPr="0085443D">
        <w:t xml:space="preserve"> RS</w:t>
      </w:r>
      <w:r w:rsidRPr="0085443D">
        <w:t>, međutim određen</w:t>
      </w:r>
      <w:r w:rsidR="00AF25C2" w:rsidRPr="0085443D">
        <w:t>i</w:t>
      </w:r>
      <w:r w:rsidRPr="0085443D">
        <w:t xml:space="preserve"> broj njih već duže vrijeme nije aktivan.  </w:t>
      </w:r>
      <w:r w:rsidR="007B3DED" w:rsidRPr="0085443D">
        <w:t>Struktura</w:t>
      </w:r>
      <w:r w:rsidR="00F423CA" w:rsidRPr="0085443D">
        <w:t xml:space="preserve"> </w:t>
      </w:r>
      <w:r w:rsidR="007B3DED" w:rsidRPr="0085443D">
        <w:t>NVO</w:t>
      </w:r>
      <w:r w:rsidR="006C7585" w:rsidRPr="0085443D">
        <w:t xml:space="preserve"> je sljedeća</w:t>
      </w:r>
      <w:r w:rsidR="00F423CA" w:rsidRPr="0085443D">
        <w:t xml:space="preserve">: </w:t>
      </w:r>
    </w:p>
    <w:p w14:paraId="2D9661C8" w14:textId="738A7C85" w:rsidR="00F423CA" w:rsidRPr="0085443D" w:rsidRDefault="007B3DED" w:rsidP="009901CE">
      <w:pPr>
        <w:pStyle w:val="ListParagraph"/>
        <w:numPr>
          <w:ilvl w:val="0"/>
          <w:numId w:val="10"/>
        </w:numPr>
        <w:spacing w:before="0" w:line="240" w:lineRule="auto"/>
      </w:pPr>
      <w:r w:rsidRPr="0085443D">
        <w:t>NVO</w:t>
      </w:r>
      <w:r w:rsidR="00F423CA" w:rsidRPr="0085443D">
        <w:t xml:space="preserve"> </w:t>
      </w:r>
      <w:r w:rsidRPr="0085443D">
        <w:t>iz</w:t>
      </w:r>
      <w:r w:rsidR="00F423CA" w:rsidRPr="0085443D">
        <w:t xml:space="preserve"> </w:t>
      </w:r>
      <w:r w:rsidRPr="0085443D">
        <w:t>oblasti</w:t>
      </w:r>
      <w:r w:rsidR="00F423CA" w:rsidRPr="0085443D">
        <w:t xml:space="preserve"> </w:t>
      </w:r>
      <w:r w:rsidRPr="0085443D">
        <w:t>kulture</w:t>
      </w:r>
      <w:r w:rsidR="00FD7430" w:rsidRPr="0085443D">
        <w:t xml:space="preserve"> </w:t>
      </w:r>
      <w:r w:rsidR="00AF25C2" w:rsidRPr="0085443D">
        <w:t>–</w:t>
      </w:r>
      <w:r w:rsidR="00FD7430" w:rsidRPr="0085443D">
        <w:t xml:space="preserve"> </w:t>
      </w:r>
      <w:r w:rsidR="00FD7430" w:rsidRPr="00A37621">
        <w:rPr>
          <w:highlight w:val="cyan"/>
        </w:rPr>
        <w:t>1</w:t>
      </w:r>
      <w:r w:rsidR="00A37621" w:rsidRPr="00A37621">
        <w:rPr>
          <w:highlight w:val="cyan"/>
        </w:rPr>
        <w:t>4</w:t>
      </w:r>
      <w:r w:rsidR="00AF25C2" w:rsidRPr="0085443D">
        <w:t>,</w:t>
      </w:r>
    </w:p>
    <w:p w14:paraId="7D31FEA2" w14:textId="13AC5873" w:rsidR="00F423CA" w:rsidRPr="0085443D" w:rsidRDefault="007B3DED" w:rsidP="009901CE">
      <w:pPr>
        <w:pStyle w:val="ListParagraph"/>
        <w:numPr>
          <w:ilvl w:val="0"/>
          <w:numId w:val="10"/>
        </w:numPr>
        <w:spacing w:before="0" w:line="240" w:lineRule="auto"/>
      </w:pPr>
      <w:r w:rsidRPr="0085443D">
        <w:t>NVO</w:t>
      </w:r>
      <w:r w:rsidR="00F423CA" w:rsidRPr="0085443D">
        <w:t xml:space="preserve"> </w:t>
      </w:r>
      <w:r w:rsidRPr="0085443D">
        <w:t>iz</w:t>
      </w:r>
      <w:r w:rsidR="00F423CA" w:rsidRPr="0085443D">
        <w:t xml:space="preserve"> </w:t>
      </w:r>
      <w:r w:rsidRPr="0085443D">
        <w:t>oblasti</w:t>
      </w:r>
      <w:r w:rsidR="00F423CA" w:rsidRPr="0085443D">
        <w:t xml:space="preserve"> </w:t>
      </w:r>
      <w:r w:rsidRPr="0085443D">
        <w:t>sporta</w:t>
      </w:r>
      <w:r w:rsidR="00F423CA" w:rsidRPr="0085443D">
        <w:t xml:space="preserve"> –</w:t>
      </w:r>
      <w:r w:rsidR="00FD7430" w:rsidRPr="0085443D">
        <w:t xml:space="preserve"> </w:t>
      </w:r>
      <w:r w:rsidR="00A37621" w:rsidRPr="00A37621">
        <w:rPr>
          <w:highlight w:val="cyan"/>
        </w:rPr>
        <w:t>31</w:t>
      </w:r>
      <w:r w:rsidR="00AF25C2" w:rsidRPr="0085443D">
        <w:t>,</w:t>
      </w:r>
    </w:p>
    <w:p w14:paraId="020289E9" w14:textId="77777777" w:rsidR="00F423CA" w:rsidRPr="0085443D" w:rsidRDefault="007B3DED" w:rsidP="009901CE">
      <w:pPr>
        <w:pStyle w:val="ListParagraph"/>
        <w:numPr>
          <w:ilvl w:val="0"/>
          <w:numId w:val="10"/>
        </w:numPr>
        <w:spacing w:before="0" w:line="240" w:lineRule="auto"/>
      </w:pPr>
      <w:r w:rsidRPr="0085443D">
        <w:t>Omladinske</w:t>
      </w:r>
      <w:r w:rsidR="00F423CA" w:rsidRPr="0085443D">
        <w:t xml:space="preserve"> </w:t>
      </w:r>
      <w:r w:rsidRPr="0085443D">
        <w:t>NVO</w:t>
      </w:r>
      <w:r w:rsidR="00AF25C2" w:rsidRPr="0085443D">
        <w:t xml:space="preserve"> – 3,</w:t>
      </w:r>
    </w:p>
    <w:p w14:paraId="36716944" w14:textId="2488495B" w:rsidR="00F423CA" w:rsidRPr="0085443D" w:rsidRDefault="007B3DED" w:rsidP="009901CE">
      <w:pPr>
        <w:pStyle w:val="ListParagraph"/>
        <w:numPr>
          <w:ilvl w:val="0"/>
          <w:numId w:val="10"/>
        </w:numPr>
        <w:spacing w:before="0" w:line="240" w:lineRule="auto"/>
      </w:pPr>
      <w:r w:rsidRPr="0085443D">
        <w:t>NVO</w:t>
      </w:r>
      <w:r w:rsidR="00F423CA" w:rsidRPr="0085443D">
        <w:t xml:space="preserve"> </w:t>
      </w:r>
      <w:r w:rsidRPr="0085443D">
        <w:t>nacionalnih</w:t>
      </w:r>
      <w:r w:rsidR="00F423CA" w:rsidRPr="0085443D">
        <w:t xml:space="preserve"> </w:t>
      </w:r>
      <w:r w:rsidRPr="0085443D">
        <w:t>manjina</w:t>
      </w:r>
      <w:r w:rsidR="00AF25C2" w:rsidRPr="0085443D">
        <w:t xml:space="preserve"> – </w:t>
      </w:r>
      <w:r w:rsidR="00AF25C2" w:rsidRPr="00A37621">
        <w:rPr>
          <w:highlight w:val="cyan"/>
        </w:rPr>
        <w:t>1</w:t>
      </w:r>
      <w:r w:rsidR="00A37621" w:rsidRPr="00A37621">
        <w:rPr>
          <w:highlight w:val="cyan"/>
        </w:rPr>
        <w:t>3</w:t>
      </w:r>
      <w:r w:rsidR="00AF25C2" w:rsidRPr="0085443D">
        <w:t>,</w:t>
      </w:r>
    </w:p>
    <w:p w14:paraId="37E02355" w14:textId="77777777" w:rsidR="00F423CA" w:rsidRPr="0085443D" w:rsidRDefault="007B3DED" w:rsidP="009901CE">
      <w:pPr>
        <w:pStyle w:val="ListParagraph"/>
        <w:numPr>
          <w:ilvl w:val="0"/>
          <w:numId w:val="10"/>
        </w:numPr>
        <w:spacing w:before="0" w:line="240" w:lineRule="auto"/>
      </w:pPr>
      <w:r w:rsidRPr="0085443D">
        <w:lastRenderedPageBreak/>
        <w:t>NVO</w:t>
      </w:r>
      <w:r w:rsidR="00F423CA" w:rsidRPr="0085443D">
        <w:t xml:space="preserve"> </w:t>
      </w:r>
      <w:r w:rsidRPr="0085443D">
        <w:t>iz</w:t>
      </w:r>
      <w:r w:rsidR="00F423CA" w:rsidRPr="0085443D">
        <w:t xml:space="preserve"> </w:t>
      </w:r>
      <w:r w:rsidRPr="0085443D">
        <w:t>oblasti</w:t>
      </w:r>
      <w:r w:rsidR="00F423CA" w:rsidRPr="0085443D">
        <w:t xml:space="preserve"> </w:t>
      </w:r>
      <w:r w:rsidRPr="0085443D">
        <w:t>poljoprivrede</w:t>
      </w:r>
      <w:r w:rsidR="00AF25C2" w:rsidRPr="0085443D">
        <w:t xml:space="preserve"> – 16,</w:t>
      </w:r>
    </w:p>
    <w:p w14:paraId="2CB84541" w14:textId="77777777" w:rsidR="00F423CA" w:rsidRPr="0085443D" w:rsidRDefault="007B3DED" w:rsidP="009901CE">
      <w:pPr>
        <w:pStyle w:val="ListParagraph"/>
        <w:numPr>
          <w:ilvl w:val="0"/>
          <w:numId w:val="10"/>
        </w:numPr>
        <w:spacing w:before="0" w:line="240" w:lineRule="auto"/>
      </w:pPr>
      <w:r w:rsidRPr="0085443D">
        <w:t>NVO</w:t>
      </w:r>
      <w:r w:rsidR="00F423CA" w:rsidRPr="0085443D">
        <w:t xml:space="preserve"> </w:t>
      </w:r>
      <w:r w:rsidRPr="0085443D">
        <w:t>koje</w:t>
      </w:r>
      <w:r w:rsidR="00F423CA" w:rsidRPr="0085443D">
        <w:t xml:space="preserve"> </w:t>
      </w:r>
      <w:r w:rsidRPr="0085443D">
        <w:t>okupljaju</w:t>
      </w:r>
      <w:r w:rsidR="00F423CA" w:rsidRPr="0085443D">
        <w:t xml:space="preserve"> </w:t>
      </w:r>
      <w:r w:rsidRPr="0085443D">
        <w:t>osjetljive</w:t>
      </w:r>
      <w:r w:rsidR="00F423CA" w:rsidRPr="0085443D">
        <w:t xml:space="preserve"> </w:t>
      </w:r>
      <w:r w:rsidRPr="0085443D">
        <w:t>i</w:t>
      </w:r>
      <w:r w:rsidR="00F423CA" w:rsidRPr="0085443D">
        <w:t xml:space="preserve"> </w:t>
      </w:r>
      <w:r w:rsidRPr="0085443D">
        <w:t>socijalno</w:t>
      </w:r>
      <w:r w:rsidR="00F423CA" w:rsidRPr="0085443D">
        <w:t xml:space="preserve"> </w:t>
      </w:r>
      <w:r w:rsidRPr="0085443D">
        <w:t>isključene</w:t>
      </w:r>
      <w:r w:rsidR="00F423CA" w:rsidRPr="0085443D">
        <w:t xml:space="preserve"> </w:t>
      </w:r>
      <w:r w:rsidRPr="0085443D">
        <w:t>grupe</w:t>
      </w:r>
      <w:r w:rsidR="00F423CA" w:rsidRPr="0085443D">
        <w:t xml:space="preserve"> </w:t>
      </w:r>
      <w:r w:rsidR="00AF25C2" w:rsidRPr="0085443D">
        <w:t>–</w:t>
      </w:r>
      <w:r w:rsidR="00F423CA" w:rsidRPr="0085443D">
        <w:t xml:space="preserve"> 10</w:t>
      </w:r>
      <w:r w:rsidR="00AF25C2" w:rsidRPr="0085443D">
        <w:t>,</w:t>
      </w:r>
    </w:p>
    <w:p w14:paraId="34458C21" w14:textId="456DFFE8" w:rsidR="00F423CA" w:rsidRPr="0085443D" w:rsidRDefault="007B3DED" w:rsidP="009901CE">
      <w:pPr>
        <w:pStyle w:val="ListParagraph"/>
        <w:numPr>
          <w:ilvl w:val="0"/>
          <w:numId w:val="10"/>
        </w:numPr>
        <w:spacing w:before="0" w:line="240" w:lineRule="auto"/>
      </w:pPr>
      <w:r w:rsidRPr="0085443D">
        <w:t>Ostale</w:t>
      </w:r>
      <w:r w:rsidR="00F423CA" w:rsidRPr="0085443D">
        <w:t xml:space="preserve"> </w:t>
      </w:r>
      <w:r w:rsidRPr="0085443D">
        <w:t>NVO</w:t>
      </w:r>
      <w:r w:rsidR="00F423CA" w:rsidRPr="0085443D">
        <w:t xml:space="preserve"> </w:t>
      </w:r>
      <w:r w:rsidR="003765EA" w:rsidRPr="0085443D">
        <w:t>–</w:t>
      </w:r>
      <w:r w:rsidR="00AF25C2" w:rsidRPr="0085443D">
        <w:t xml:space="preserve"> </w:t>
      </w:r>
      <w:r w:rsidR="00AF25C2" w:rsidRPr="00A37621">
        <w:rPr>
          <w:highlight w:val="cyan"/>
        </w:rPr>
        <w:t>4</w:t>
      </w:r>
      <w:r w:rsidR="00A37621" w:rsidRPr="00A37621">
        <w:rPr>
          <w:highlight w:val="cyan"/>
        </w:rPr>
        <w:t>5</w:t>
      </w:r>
      <w:r w:rsidR="00AF25C2" w:rsidRPr="0085443D">
        <w:t>.</w:t>
      </w:r>
    </w:p>
    <w:p w14:paraId="6B1DACB2" w14:textId="0C8E3EE9" w:rsidR="00AF25C2" w:rsidRPr="0085443D" w:rsidRDefault="00AF25C2" w:rsidP="00AF25C2">
      <w:pPr>
        <w:jc w:val="both"/>
        <w:rPr>
          <w:i/>
        </w:rPr>
      </w:pPr>
      <w:r w:rsidRPr="0085443D">
        <w:rPr>
          <w:i/>
        </w:rPr>
        <w:t xml:space="preserve">Izvor: Prema evidencija Ministarstva uprave i lokalne samouprave RS od </w:t>
      </w:r>
      <w:r w:rsidR="00630523" w:rsidRPr="00630523">
        <w:rPr>
          <w:i/>
          <w:highlight w:val="cyan"/>
        </w:rPr>
        <w:t>15</w:t>
      </w:r>
      <w:r w:rsidRPr="00630523">
        <w:rPr>
          <w:i/>
          <w:highlight w:val="cyan"/>
        </w:rPr>
        <w:t>.06.201</w:t>
      </w:r>
      <w:r w:rsidR="00630523" w:rsidRPr="00630523">
        <w:rPr>
          <w:i/>
          <w:highlight w:val="cyan"/>
        </w:rPr>
        <w:t>7</w:t>
      </w:r>
      <w:r w:rsidRPr="00630523">
        <w:rPr>
          <w:i/>
          <w:highlight w:val="cyan"/>
        </w:rPr>
        <w:t>. godine</w:t>
      </w:r>
    </w:p>
    <w:p w14:paraId="6C771947" w14:textId="1B0D6926" w:rsidR="00AF25C2" w:rsidRDefault="00AF25C2" w:rsidP="00AF25C2">
      <w:pPr>
        <w:jc w:val="both"/>
      </w:pPr>
      <w:r w:rsidRPr="0085443D">
        <w:t xml:space="preserve">Po saznanju Odjeljenja za lokalni ekonomski razvoj i društvene djelatnosti postoji nekoliko novoosnovanih udruženja građana na području opštine, ali se ne nalaze na spisku Ministarstva od </w:t>
      </w:r>
      <w:r w:rsidR="00630523" w:rsidRPr="00630523">
        <w:rPr>
          <w:highlight w:val="cyan"/>
        </w:rPr>
        <w:t>15</w:t>
      </w:r>
      <w:r w:rsidRPr="00630523">
        <w:rPr>
          <w:highlight w:val="cyan"/>
        </w:rPr>
        <w:t>.06.201</w:t>
      </w:r>
      <w:r w:rsidR="00630523" w:rsidRPr="00630523">
        <w:rPr>
          <w:highlight w:val="cyan"/>
        </w:rPr>
        <w:t>7</w:t>
      </w:r>
      <w:r w:rsidRPr="00630523">
        <w:rPr>
          <w:highlight w:val="cyan"/>
        </w:rPr>
        <w:t>. godine</w:t>
      </w:r>
      <w:r w:rsidRPr="0085443D">
        <w:t xml:space="preserve">. </w:t>
      </w:r>
    </w:p>
    <w:p w14:paraId="38D4E1C6" w14:textId="09520CC6" w:rsidR="001A1533" w:rsidRPr="0085443D" w:rsidRDefault="001A1533" w:rsidP="00AF25C2">
      <w:pPr>
        <w:jc w:val="both"/>
      </w:pPr>
      <w:r w:rsidRPr="001A1533">
        <w:rPr>
          <w:highlight w:val="cyan"/>
        </w:rPr>
        <w:t>U narednom periodu je potrebna izgradnja kapaciteta NVO za pripremu i implementaciju projekata finansiranih iz eksternih izvora finansiranja, kako bi se mogle iskoristiti raspoložive informacije o dostupnim fondovima i na taj način obezbijedila dodatna sredstva za implementaciju razvojnih projekata.</w:t>
      </w:r>
      <w:r>
        <w:t xml:space="preserve"> </w:t>
      </w:r>
    </w:p>
    <w:p w14:paraId="3011B94C" w14:textId="77777777" w:rsidR="00AF25C2" w:rsidRPr="0085443D" w:rsidRDefault="00AF25C2" w:rsidP="00AF25C2"/>
    <w:p w14:paraId="32FE5FDE" w14:textId="77777777" w:rsidR="003B497A" w:rsidRPr="0085443D" w:rsidRDefault="003B497A" w:rsidP="003B497A">
      <w:pPr>
        <w:spacing w:after="80"/>
        <w:rPr>
          <w:b/>
          <w:i/>
          <w:lang w:val="hr-HR"/>
        </w:rPr>
      </w:pPr>
      <w:r w:rsidRPr="0085443D">
        <w:rPr>
          <w:b/>
          <w:i/>
          <w:lang w:val="hr-HR"/>
        </w:rPr>
        <w:t>Zdravstvo</w:t>
      </w:r>
    </w:p>
    <w:p w14:paraId="63B09785" w14:textId="77777777" w:rsidR="00824E83" w:rsidRPr="0085443D" w:rsidRDefault="007B3DED" w:rsidP="00824E83">
      <w:pPr>
        <w:jc w:val="both"/>
        <w:rPr>
          <w:b/>
          <w:lang w:val="sr-Cyrl-BA"/>
        </w:rPr>
      </w:pPr>
      <w:r w:rsidRPr="0085443D">
        <w:rPr>
          <w:b/>
          <w:lang w:val="sr-Cyrl-BA"/>
        </w:rPr>
        <w:t>Zdravstvo</w:t>
      </w:r>
      <w:r w:rsidR="00824E83" w:rsidRPr="0085443D">
        <w:rPr>
          <w:b/>
          <w:lang w:val="sr-Cyrl-BA"/>
        </w:rPr>
        <w:t xml:space="preserve"> – </w:t>
      </w:r>
      <w:r w:rsidRPr="0085443D">
        <w:rPr>
          <w:b/>
          <w:lang w:val="sr-Cyrl-BA"/>
        </w:rPr>
        <w:t>registrovani</w:t>
      </w:r>
      <w:r w:rsidR="00824E83" w:rsidRPr="0085443D">
        <w:rPr>
          <w:b/>
          <w:lang w:val="sr-Cyrl-BA"/>
        </w:rPr>
        <w:t xml:space="preserve"> </w:t>
      </w:r>
      <w:r w:rsidRPr="0085443D">
        <w:rPr>
          <w:b/>
          <w:lang w:val="sr-Cyrl-BA"/>
        </w:rPr>
        <w:t>pacijenti</w:t>
      </w:r>
      <w:r w:rsidR="00824E83" w:rsidRPr="0085443D">
        <w:rPr>
          <w:b/>
          <w:lang w:val="sr-Cyrl-BA"/>
        </w:rPr>
        <w:t xml:space="preserve"> </w:t>
      </w:r>
      <w:r w:rsidRPr="0085443D">
        <w:rPr>
          <w:b/>
          <w:lang w:val="sr-Cyrl-BA"/>
        </w:rPr>
        <w:t>u</w:t>
      </w:r>
      <w:r w:rsidR="00824E83" w:rsidRPr="0085443D">
        <w:rPr>
          <w:b/>
          <w:lang w:val="sr-Cyrl-BA"/>
        </w:rPr>
        <w:t xml:space="preserve"> </w:t>
      </w:r>
      <w:r w:rsidRPr="0085443D">
        <w:rPr>
          <w:b/>
          <w:lang w:val="sr-Cyrl-BA"/>
        </w:rPr>
        <w:t>JZU</w:t>
      </w:r>
      <w:r w:rsidR="00824E83" w:rsidRPr="0085443D">
        <w:rPr>
          <w:b/>
          <w:lang w:val="sr-Cyrl-BA"/>
        </w:rPr>
        <w:t xml:space="preserve"> </w:t>
      </w:r>
      <w:r w:rsidRPr="0085443D">
        <w:rPr>
          <w:b/>
          <w:lang w:val="sr-Cyrl-BA"/>
        </w:rPr>
        <w:t>Dom</w:t>
      </w:r>
      <w:r w:rsidR="00824E83" w:rsidRPr="0085443D">
        <w:rPr>
          <w:b/>
          <w:lang w:val="sr-Cyrl-BA"/>
        </w:rPr>
        <w:t xml:space="preserve"> </w:t>
      </w:r>
      <w:r w:rsidRPr="0085443D">
        <w:rPr>
          <w:b/>
          <w:lang w:val="sr-Cyrl-BA"/>
        </w:rPr>
        <w:t>zdravlja</w:t>
      </w:r>
      <w:r w:rsidR="00824E83" w:rsidRPr="0085443D">
        <w:rPr>
          <w:b/>
          <w:lang w:val="sr-Cyrl-BA"/>
        </w:rPr>
        <w:t xml:space="preserve"> </w:t>
      </w:r>
      <w:r w:rsidRPr="0085443D">
        <w:rPr>
          <w:b/>
          <w:lang w:val="sr-Cyrl-BA"/>
        </w:rPr>
        <w:t>Prnjavor</w:t>
      </w:r>
    </w:p>
    <w:tbl>
      <w:tblPr>
        <w:tblStyle w:val="GridTable5Dark-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630"/>
        <w:gridCol w:w="1630"/>
        <w:gridCol w:w="1630"/>
        <w:gridCol w:w="1630"/>
      </w:tblGrid>
      <w:tr w:rsidR="006C7585" w:rsidRPr="0085443D" w14:paraId="7B7188E8" w14:textId="77777777" w:rsidTr="00F2609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right w:val="none" w:sz="0" w:space="0" w:color="auto"/>
            </w:tcBorders>
          </w:tcPr>
          <w:p w14:paraId="08B1BB49" w14:textId="77777777" w:rsidR="00824E83" w:rsidRPr="0085443D" w:rsidRDefault="007B3DED" w:rsidP="00A02EC1">
            <w:pPr>
              <w:jc w:val="both"/>
              <w:rPr>
                <w:color w:val="auto"/>
                <w:lang w:val="sr-Cyrl-BA"/>
              </w:rPr>
            </w:pPr>
            <w:r w:rsidRPr="0085443D">
              <w:rPr>
                <w:color w:val="auto"/>
                <w:lang w:val="sr-Cyrl-BA"/>
              </w:rPr>
              <w:t>Godina</w:t>
            </w:r>
          </w:p>
        </w:tc>
        <w:tc>
          <w:tcPr>
            <w:tcW w:w="1630" w:type="dxa"/>
            <w:tcBorders>
              <w:top w:val="none" w:sz="0" w:space="0" w:color="auto"/>
              <w:left w:val="none" w:sz="0" w:space="0" w:color="auto"/>
              <w:right w:val="none" w:sz="0" w:space="0" w:color="auto"/>
            </w:tcBorders>
          </w:tcPr>
          <w:p w14:paraId="256A9D90" w14:textId="77777777" w:rsidR="00824E83" w:rsidRPr="0085443D" w:rsidRDefault="00824E83" w:rsidP="00F2609F">
            <w:pPr>
              <w:jc w:val="center"/>
              <w:cnfStyle w:val="100000000000" w:firstRow="1" w:lastRow="0" w:firstColumn="0" w:lastColumn="0" w:oddVBand="0" w:evenVBand="0" w:oddHBand="0" w:evenHBand="0" w:firstRowFirstColumn="0" w:firstRowLastColumn="0" w:lastRowFirstColumn="0" w:lastRowLastColumn="0"/>
              <w:rPr>
                <w:color w:val="auto"/>
                <w:lang w:val="sr-Latn-CS"/>
              </w:rPr>
            </w:pPr>
            <w:r w:rsidRPr="0085443D">
              <w:rPr>
                <w:color w:val="auto"/>
                <w:lang w:val="sr-Latn-CS"/>
              </w:rPr>
              <w:t>2013</w:t>
            </w:r>
          </w:p>
        </w:tc>
        <w:tc>
          <w:tcPr>
            <w:tcW w:w="1630" w:type="dxa"/>
            <w:tcBorders>
              <w:top w:val="none" w:sz="0" w:space="0" w:color="auto"/>
              <w:left w:val="none" w:sz="0" w:space="0" w:color="auto"/>
              <w:right w:val="none" w:sz="0" w:space="0" w:color="auto"/>
            </w:tcBorders>
          </w:tcPr>
          <w:p w14:paraId="062B6014" w14:textId="77777777" w:rsidR="00824E83" w:rsidRPr="0085443D" w:rsidRDefault="00824E83" w:rsidP="00F2609F">
            <w:pPr>
              <w:jc w:val="center"/>
              <w:cnfStyle w:val="100000000000" w:firstRow="1" w:lastRow="0" w:firstColumn="0" w:lastColumn="0" w:oddVBand="0" w:evenVBand="0" w:oddHBand="0" w:evenHBand="0" w:firstRowFirstColumn="0" w:firstRowLastColumn="0" w:lastRowFirstColumn="0" w:lastRowLastColumn="0"/>
              <w:rPr>
                <w:color w:val="auto"/>
                <w:lang w:val="sr-Latn-CS"/>
              </w:rPr>
            </w:pPr>
            <w:r w:rsidRPr="0085443D">
              <w:rPr>
                <w:color w:val="auto"/>
                <w:lang w:val="sr-Latn-CS"/>
              </w:rPr>
              <w:t>2014</w:t>
            </w:r>
          </w:p>
        </w:tc>
        <w:tc>
          <w:tcPr>
            <w:tcW w:w="1630" w:type="dxa"/>
            <w:tcBorders>
              <w:top w:val="none" w:sz="0" w:space="0" w:color="auto"/>
              <w:left w:val="none" w:sz="0" w:space="0" w:color="auto"/>
              <w:right w:val="none" w:sz="0" w:space="0" w:color="auto"/>
            </w:tcBorders>
          </w:tcPr>
          <w:p w14:paraId="49118CAC" w14:textId="77777777" w:rsidR="00824E83" w:rsidRPr="0085443D" w:rsidRDefault="00824E83" w:rsidP="00F2609F">
            <w:pPr>
              <w:jc w:val="center"/>
              <w:cnfStyle w:val="100000000000" w:firstRow="1" w:lastRow="0" w:firstColumn="0" w:lastColumn="0" w:oddVBand="0" w:evenVBand="0" w:oddHBand="0" w:evenHBand="0" w:firstRowFirstColumn="0" w:firstRowLastColumn="0" w:lastRowFirstColumn="0" w:lastRowLastColumn="0"/>
              <w:rPr>
                <w:color w:val="auto"/>
                <w:lang w:val="sr-Latn-CS"/>
              </w:rPr>
            </w:pPr>
            <w:r w:rsidRPr="0085443D">
              <w:rPr>
                <w:color w:val="auto"/>
                <w:lang w:val="sr-Latn-CS"/>
              </w:rPr>
              <w:t>2015</w:t>
            </w:r>
          </w:p>
        </w:tc>
        <w:tc>
          <w:tcPr>
            <w:tcW w:w="1630" w:type="dxa"/>
            <w:tcBorders>
              <w:top w:val="none" w:sz="0" w:space="0" w:color="auto"/>
              <w:left w:val="none" w:sz="0" w:space="0" w:color="auto"/>
              <w:right w:val="none" w:sz="0" w:space="0" w:color="auto"/>
            </w:tcBorders>
          </w:tcPr>
          <w:p w14:paraId="414E7F2C" w14:textId="77777777" w:rsidR="00824E83" w:rsidRPr="0085443D" w:rsidRDefault="00824E83" w:rsidP="00F2609F">
            <w:pPr>
              <w:jc w:val="center"/>
              <w:cnfStyle w:val="100000000000" w:firstRow="1" w:lastRow="0" w:firstColumn="0" w:lastColumn="0" w:oddVBand="0" w:evenVBand="0" w:oddHBand="0" w:evenHBand="0" w:firstRowFirstColumn="0" w:firstRowLastColumn="0" w:lastRowFirstColumn="0" w:lastRowLastColumn="0"/>
              <w:rPr>
                <w:color w:val="auto"/>
                <w:lang w:val="sr-Latn-CS"/>
              </w:rPr>
            </w:pPr>
            <w:r w:rsidRPr="0085443D">
              <w:rPr>
                <w:color w:val="auto"/>
                <w:lang w:val="sr-Latn-CS"/>
              </w:rPr>
              <w:t>2016</w:t>
            </w:r>
          </w:p>
        </w:tc>
      </w:tr>
      <w:tr w:rsidR="006C7585" w:rsidRPr="0085443D" w14:paraId="0D355F89" w14:textId="77777777" w:rsidTr="00F2609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30" w:type="dxa"/>
            <w:tcBorders>
              <w:left w:val="none" w:sz="0" w:space="0" w:color="auto"/>
              <w:bottom w:val="none" w:sz="0" w:space="0" w:color="auto"/>
            </w:tcBorders>
          </w:tcPr>
          <w:p w14:paraId="4D9E28E3" w14:textId="77777777" w:rsidR="00824E83" w:rsidRPr="0085443D" w:rsidRDefault="007B3DED" w:rsidP="00A02EC1">
            <w:pPr>
              <w:jc w:val="both"/>
              <w:rPr>
                <w:color w:val="auto"/>
              </w:rPr>
            </w:pPr>
            <w:r w:rsidRPr="0085443D">
              <w:rPr>
                <w:color w:val="auto"/>
                <w:lang w:val="sr-Cyrl-BA"/>
              </w:rPr>
              <w:t>Broj</w:t>
            </w:r>
            <w:r w:rsidR="00824E83" w:rsidRPr="0085443D">
              <w:rPr>
                <w:color w:val="auto"/>
                <w:lang w:val="sr-Cyrl-BA"/>
              </w:rPr>
              <w:t xml:space="preserve"> </w:t>
            </w:r>
            <w:r w:rsidR="001A7A2E" w:rsidRPr="0085443D">
              <w:rPr>
                <w:color w:val="auto"/>
                <w:lang w:val="sr-Cyrl-BA"/>
              </w:rPr>
              <w:t>r</w:t>
            </w:r>
            <w:r w:rsidRPr="0085443D">
              <w:rPr>
                <w:color w:val="auto"/>
                <w:lang w:val="sr-Cyrl-BA"/>
              </w:rPr>
              <w:t>egistrovanih</w:t>
            </w:r>
            <w:r w:rsidR="001A7A2E" w:rsidRPr="0085443D">
              <w:rPr>
                <w:color w:val="auto"/>
              </w:rPr>
              <w:t xml:space="preserve"> pacijenata</w:t>
            </w:r>
          </w:p>
        </w:tc>
        <w:tc>
          <w:tcPr>
            <w:tcW w:w="1630" w:type="dxa"/>
          </w:tcPr>
          <w:p w14:paraId="47936900" w14:textId="77777777" w:rsidR="00824E83" w:rsidRPr="0085443D" w:rsidRDefault="00824E83" w:rsidP="00F2609F">
            <w:pPr>
              <w:jc w:val="right"/>
              <w:cnfStyle w:val="000000100000" w:firstRow="0" w:lastRow="0" w:firstColumn="0" w:lastColumn="0" w:oddVBand="0" w:evenVBand="0" w:oddHBand="1" w:evenHBand="0" w:firstRowFirstColumn="0" w:firstRowLastColumn="0" w:lastRowFirstColumn="0" w:lastRowLastColumn="0"/>
              <w:rPr>
                <w:lang w:val="sr-Latn-CS"/>
              </w:rPr>
            </w:pPr>
            <w:r w:rsidRPr="0085443D">
              <w:rPr>
                <w:lang w:val="sr-Latn-CS"/>
              </w:rPr>
              <w:t>25.613</w:t>
            </w:r>
          </w:p>
        </w:tc>
        <w:tc>
          <w:tcPr>
            <w:tcW w:w="1630" w:type="dxa"/>
          </w:tcPr>
          <w:p w14:paraId="7D300B59" w14:textId="77777777" w:rsidR="00824E83" w:rsidRPr="0085443D" w:rsidRDefault="00824E83" w:rsidP="00F2609F">
            <w:pPr>
              <w:jc w:val="right"/>
              <w:cnfStyle w:val="000000100000" w:firstRow="0" w:lastRow="0" w:firstColumn="0" w:lastColumn="0" w:oddVBand="0" w:evenVBand="0" w:oddHBand="1" w:evenHBand="0" w:firstRowFirstColumn="0" w:firstRowLastColumn="0" w:lastRowFirstColumn="0" w:lastRowLastColumn="0"/>
              <w:rPr>
                <w:lang w:val="sr-Latn-CS"/>
              </w:rPr>
            </w:pPr>
            <w:r w:rsidRPr="0085443D">
              <w:rPr>
                <w:lang w:val="sr-Latn-CS"/>
              </w:rPr>
              <w:t>24.338</w:t>
            </w:r>
          </w:p>
        </w:tc>
        <w:tc>
          <w:tcPr>
            <w:tcW w:w="1630" w:type="dxa"/>
          </w:tcPr>
          <w:p w14:paraId="37305A2E" w14:textId="77777777" w:rsidR="00824E83" w:rsidRPr="0085443D" w:rsidRDefault="00824E83" w:rsidP="00F2609F">
            <w:pPr>
              <w:jc w:val="right"/>
              <w:cnfStyle w:val="000000100000" w:firstRow="0" w:lastRow="0" w:firstColumn="0" w:lastColumn="0" w:oddVBand="0" w:evenVBand="0" w:oddHBand="1" w:evenHBand="0" w:firstRowFirstColumn="0" w:firstRowLastColumn="0" w:lastRowFirstColumn="0" w:lastRowLastColumn="0"/>
              <w:rPr>
                <w:lang w:val="sr-Latn-CS"/>
              </w:rPr>
            </w:pPr>
            <w:r w:rsidRPr="0085443D">
              <w:rPr>
                <w:lang w:val="sr-Latn-CS"/>
              </w:rPr>
              <w:t>24.611</w:t>
            </w:r>
          </w:p>
        </w:tc>
        <w:tc>
          <w:tcPr>
            <w:tcW w:w="1630" w:type="dxa"/>
          </w:tcPr>
          <w:p w14:paraId="5500727F" w14:textId="77777777" w:rsidR="00824E83" w:rsidRPr="0085443D" w:rsidRDefault="00824E83" w:rsidP="00F2609F">
            <w:pPr>
              <w:jc w:val="right"/>
              <w:cnfStyle w:val="000000100000" w:firstRow="0" w:lastRow="0" w:firstColumn="0" w:lastColumn="0" w:oddVBand="0" w:evenVBand="0" w:oddHBand="1" w:evenHBand="0" w:firstRowFirstColumn="0" w:firstRowLastColumn="0" w:lastRowFirstColumn="0" w:lastRowLastColumn="0"/>
              <w:rPr>
                <w:lang w:val="sr-Latn-CS"/>
              </w:rPr>
            </w:pPr>
            <w:r w:rsidRPr="0085443D">
              <w:rPr>
                <w:lang w:val="sr-Latn-CS"/>
              </w:rPr>
              <w:t>24.011</w:t>
            </w:r>
          </w:p>
        </w:tc>
      </w:tr>
    </w:tbl>
    <w:p w14:paraId="539EC5BD" w14:textId="74B46285" w:rsidR="00824E83" w:rsidRPr="00C6381A" w:rsidRDefault="00DC6129" w:rsidP="00824E83">
      <w:pPr>
        <w:jc w:val="both"/>
        <w:rPr>
          <w:lang w:val="sr-Latn-CS"/>
        </w:rPr>
      </w:pPr>
      <w:r w:rsidRPr="000E57C1">
        <w:rPr>
          <w:highlight w:val="cyan"/>
          <w:lang w:val="sr-Latn-CS"/>
        </w:rPr>
        <w:t>Kapaciteti za pružanje zdravstvenih usluga na području opštine</w:t>
      </w:r>
      <w:r w:rsidR="00C6381A" w:rsidRPr="000E57C1">
        <w:rPr>
          <w:highlight w:val="cyan"/>
          <w:lang w:val="sr-Latn-CS"/>
        </w:rPr>
        <w:t xml:space="preserve">, kao i same usluge </w:t>
      </w:r>
      <w:r w:rsidRPr="000E57C1">
        <w:rPr>
          <w:highlight w:val="cyan"/>
          <w:lang w:val="sr-Latn-CS"/>
        </w:rPr>
        <w:t xml:space="preserve">su </w:t>
      </w:r>
      <w:r w:rsidR="00C6381A" w:rsidRPr="000E57C1">
        <w:rPr>
          <w:highlight w:val="cyan"/>
          <w:lang w:val="sr-Latn-CS"/>
        </w:rPr>
        <w:t xml:space="preserve">na </w:t>
      </w:r>
      <w:r w:rsidRPr="000E57C1">
        <w:rPr>
          <w:highlight w:val="cyan"/>
          <w:lang w:val="sr-Latn-CS"/>
        </w:rPr>
        <w:t>zadovoljavajuć</w:t>
      </w:r>
      <w:r w:rsidR="00C6381A" w:rsidRPr="000E57C1">
        <w:rPr>
          <w:highlight w:val="cyan"/>
          <w:lang w:val="sr-Latn-CS"/>
        </w:rPr>
        <w:t>em nivou.</w:t>
      </w:r>
    </w:p>
    <w:p w14:paraId="1F0625B1" w14:textId="77777777" w:rsidR="00C6381A" w:rsidRPr="0085443D" w:rsidRDefault="00C6381A" w:rsidP="00824E83">
      <w:pPr>
        <w:jc w:val="both"/>
        <w:rPr>
          <w:b/>
          <w:lang w:val="sr-Latn-CS"/>
        </w:rPr>
      </w:pPr>
    </w:p>
    <w:p w14:paraId="0D14BBA1" w14:textId="77777777" w:rsidR="006C7585" w:rsidRPr="0085443D" w:rsidRDefault="006C7585" w:rsidP="00824E83">
      <w:pPr>
        <w:jc w:val="both"/>
        <w:rPr>
          <w:rFonts w:eastAsia="Times New Roman" w:cs="Calibri"/>
          <w:bCs/>
          <w:color w:val="000000"/>
          <w:lang w:val="en-US"/>
        </w:rPr>
      </w:pPr>
      <w:r w:rsidRPr="0085443D">
        <w:rPr>
          <w:rFonts w:eastAsia="Times New Roman" w:cs="Calibri"/>
          <w:bCs/>
          <w:color w:val="000000"/>
          <w:lang w:val="en-US"/>
        </w:rPr>
        <w:t>Broj zaposlenih u u JZU Dom zdravlja Prnjavor je dat u sljedećoj tabeli:</w:t>
      </w:r>
    </w:p>
    <w:tbl>
      <w:tblPr>
        <w:tblStyle w:val="GridTable5Dark-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649"/>
        <w:gridCol w:w="892"/>
        <w:gridCol w:w="649"/>
        <w:gridCol w:w="892"/>
        <w:gridCol w:w="649"/>
        <w:gridCol w:w="892"/>
        <w:gridCol w:w="649"/>
        <w:gridCol w:w="892"/>
        <w:gridCol w:w="649"/>
        <w:gridCol w:w="892"/>
      </w:tblGrid>
      <w:tr w:rsidR="006C7585" w:rsidRPr="0085443D" w14:paraId="3E9935C6" w14:textId="77777777" w:rsidTr="006C75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vMerge w:val="restart"/>
            <w:tcBorders>
              <w:top w:val="none" w:sz="0" w:space="0" w:color="auto"/>
              <w:left w:val="none" w:sz="0" w:space="0" w:color="auto"/>
              <w:right w:val="none" w:sz="0" w:space="0" w:color="auto"/>
            </w:tcBorders>
          </w:tcPr>
          <w:p w14:paraId="6F6ECC67" w14:textId="77777777" w:rsidR="00824E83" w:rsidRPr="0085443D" w:rsidRDefault="007B3DED" w:rsidP="00A02EC1">
            <w:pPr>
              <w:jc w:val="both"/>
              <w:rPr>
                <w:rFonts w:asciiTheme="minorHAnsi" w:hAnsiTheme="minorHAnsi" w:cstheme="minorHAnsi"/>
                <w:color w:val="auto"/>
                <w:lang w:val="sr-Cyrl-BA"/>
              </w:rPr>
            </w:pPr>
            <w:r w:rsidRPr="0085443D">
              <w:rPr>
                <w:rFonts w:asciiTheme="minorHAnsi" w:hAnsiTheme="minorHAnsi" w:cstheme="minorHAnsi"/>
                <w:color w:val="auto"/>
                <w:lang w:val="sr-Cyrl-BA"/>
              </w:rPr>
              <w:t>ZANIMANjE</w:t>
            </w:r>
          </w:p>
        </w:tc>
        <w:tc>
          <w:tcPr>
            <w:tcW w:w="1541" w:type="dxa"/>
            <w:gridSpan w:val="2"/>
            <w:tcBorders>
              <w:top w:val="none" w:sz="0" w:space="0" w:color="auto"/>
              <w:left w:val="none" w:sz="0" w:space="0" w:color="auto"/>
              <w:right w:val="none" w:sz="0" w:space="0" w:color="auto"/>
            </w:tcBorders>
          </w:tcPr>
          <w:p w14:paraId="08A47F1C" w14:textId="77777777" w:rsidR="00824E83" w:rsidRPr="0085443D" w:rsidRDefault="00824E83" w:rsidP="006E6E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sr-Cyrl-BA"/>
              </w:rPr>
            </w:pPr>
            <w:r w:rsidRPr="0085443D">
              <w:rPr>
                <w:rFonts w:asciiTheme="minorHAnsi" w:hAnsiTheme="minorHAnsi" w:cstheme="minorHAnsi"/>
                <w:color w:val="auto"/>
                <w:lang w:val="sr-Cyrl-BA"/>
              </w:rPr>
              <w:t>31.12.2012.</w:t>
            </w:r>
          </w:p>
        </w:tc>
        <w:tc>
          <w:tcPr>
            <w:tcW w:w="1541" w:type="dxa"/>
            <w:gridSpan w:val="2"/>
            <w:tcBorders>
              <w:top w:val="none" w:sz="0" w:space="0" w:color="auto"/>
              <w:left w:val="none" w:sz="0" w:space="0" w:color="auto"/>
              <w:right w:val="none" w:sz="0" w:space="0" w:color="auto"/>
            </w:tcBorders>
          </w:tcPr>
          <w:p w14:paraId="29AD1A08" w14:textId="77777777" w:rsidR="00824E83" w:rsidRPr="0085443D" w:rsidRDefault="00824E83" w:rsidP="006E6E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sr-Cyrl-BA"/>
              </w:rPr>
            </w:pPr>
            <w:r w:rsidRPr="0085443D">
              <w:rPr>
                <w:rFonts w:asciiTheme="minorHAnsi" w:hAnsiTheme="minorHAnsi" w:cstheme="minorHAnsi"/>
                <w:color w:val="auto"/>
                <w:lang w:val="sr-Cyrl-BA"/>
              </w:rPr>
              <w:t>31.12.2013.</w:t>
            </w:r>
          </w:p>
        </w:tc>
        <w:tc>
          <w:tcPr>
            <w:tcW w:w="1541" w:type="dxa"/>
            <w:gridSpan w:val="2"/>
            <w:tcBorders>
              <w:top w:val="none" w:sz="0" w:space="0" w:color="auto"/>
              <w:left w:val="none" w:sz="0" w:space="0" w:color="auto"/>
              <w:right w:val="none" w:sz="0" w:space="0" w:color="auto"/>
            </w:tcBorders>
          </w:tcPr>
          <w:p w14:paraId="70CC7BF8" w14:textId="77777777" w:rsidR="00824E83" w:rsidRPr="0085443D" w:rsidRDefault="00824E83" w:rsidP="006E6E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5443D">
              <w:rPr>
                <w:rFonts w:asciiTheme="minorHAnsi" w:hAnsiTheme="minorHAnsi" w:cstheme="minorHAnsi"/>
                <w:color w:val="auto"/>
                <w:lang w:val="sr-Cyrl-BA"/>
              </w:rPr>
              <w:t>31.12.2014</w:t>
            </w:r>
            <w:r w:rsidR="006C7585" w:rsidRPr="0085443D">
              <w:rPr>
                <w:rFonts w:asciiTheme="minorHAnsi" w:hAnsiTheme="minorHAnsi" w:cstheme="minorHAnsi"/>
                <w:color w:val="auto"/>
              </w:rPr>
              <w:t>.</w:t>
            </w:r>
          </w:p>
        </w:tc>
        <w:tc>
          <w:tcPr>
            <w:tcW w:w="1541" w:type="dxa"/>
            <w:gridSpan w:val="2"/>
            <w:tcBorders>
              <w:top w:val="none" w:sz="0" w:space="0" w:color="auto"/>
              <w:left w:val="none" w:sz="0" w:space="0" w:color="auto"/>
              <w:right w:val="none" w:sz="0" w:space="0" w:color="auto"/>
            </w:tcBorders>
          </w:tcPr>
          <w:p w14:paraId="6FBCDBD7" w14:textId="77777777" w:rsidR="00824E83" w:rsidRPr="0085443D" w:rsidRDefault="00824E83" w:rsidP="006E6E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5443D">
              <w:rPr>
                <w:rFonts w:asciiTheme="minorHAnsi" w:hAnsiTheme="minorHAnsi" w:cstheme="minorHAnsi"/>
                <w:color w:val="auto"/>
                <w:lang w:val="sr-Cyrl-BA"/>
              </w:rPr>
              <w:t>31.12.2015</w:t>
            </w:r>
            <w:r w:rsidR="006C7585" w:rsidRPr="0085443D">
              <w:rPr>
                <w:rFonts w:asciiTheme="minorHAnsi" w:hAnsiTheme="minorHAnsi" w:cstheme="minorHAnsi"/>
                <w:color w:val="auto"/>
              </w:rPr>
              <w:t>.</w:t>
            </w:r>
          </w:p>
        </w:tc>
        <w:tc>
          <w:tcPr>
            <w:tcW w:w="1541" w:type="dxa"/>
            <w:gridSpan w:val="2"/>
            <w:tcBorders>
              <w:top w:val="none" w:sz="0" w:space="0" w:color="auto"/>
              <w:left w:val="none" w:sz="0" w:space="0" w:color="auto"/>
              <w:right w:val="none" w:sz="0" w:space="0" w:color="auto"/>
            </w:tcBorders>
          </w:tcPr>
          <w:p w14:paraId="3B4AC5F6" w14:textId="77777777" w:rsidR="00824E83" w:rsidRPr="0085443D" w:rsidRDefault="00824E83" w:rsidP="006E6E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5443D">
              <w:rPr>
                <w:rFonts w:asciiTheme="minorHAnsi" w:hAnsiTheme="minorHAnsi" w:cstheme="minorHAnsi"/>
                <w:color w:val="auto"/>
                <w:lang w:val="sr-Cyrl-BA"/>
              </w:rPr>
              <w:t>31.12.2016</w:t>
            </w:r>
            <w:r w:rsidR="006C7585" w:rsidRPr="0085443D">
              <w:rPr>
                <w:rFonts w:asciiTheme="minorHAnsi" w:hAnsiTheme="minorHAnsi" w:cstheme="minorHAnsi"/>
                <w:color w:val="auto"/>
              </w:rPr>
              <w:t>.</w:t>
            </w:r>
          </w:p>
        </w:tc>
      </w:tr>
      <w:tr w:rsidR="006C7585" w:rsidRPr="0085443D" w14:paraId="4634F2A3" w14:textId="77777777" w:rsidTr="006C7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vMerge/>
            <w:tcBorders>
              <w:left w:val="none" w:sz="0" w:space="0" w:color="auto"/>
            </w:tcBorders>
          </w:tcPr>
          <w:p w14:paraId="16B0CABE" w14:textId="77777777" w:rsidR="00824E83" w:rsidRPr="0085443D" w:rsidRDefault="00824E83" w:rsidP="00A02EC1">
            <w:pPr>
              <w:jc w:val="both"/>
              <w:rPr>
                <w:rFonts w:asciiTheme="minorHAnsi" w:hAnsiTheme="minorHAnsi" w:cstheme="minorHAnsi"/>
                <w:color w:val="auto"/>
                <w:lang w:val="sr-Cyrl-BA"/>
              </w:rPr>
            </w:pPr>
          </w:p>
        </w:tc>
        <w:tc>
          <w:tcPr>
            <w:tcW w:w="649" w:type="dxa"/>
          </w:tcPr>
          <w:p w14:paraId="175E9E63" w14:textId="77777777" w:rsidR="00824E83" w:rsidRPr="0085443D" w:rsidRDefault="007B3DED" w:rsidP="00A02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lang w:val="sr-Cyrl-BA"/>
              </w:rPr>
            </w:pPr>
            <w:r w:rsidRPr="0085443D">
              <w:rPr>
                <w:rFonts w:asciiTheme="minorHAnsi" w:hAnsiTheme="minorHAnsi" w:cstheme="minorHAnsi"/>
                <w:b/>
                <w:sz w:val="16"/>
                <w:lang w:val="sr-Cyrl-BA"/>
              </w:rPr>
              <w:t>Za</w:t>
            </w:r>
            <w:r w:rsidR="00824E83" w:rsidRPr="0085443D">
              <w:rPr>
                <w:rFonts w:asciiTheme="minorHAnsi" w:hAnsiTheme="minorHAnsi" w:cstheme="minorHAnsi"/>
                <w:b/>
                <w:sz w:val="16"/>
                <w:lang w:val="sr-Cyrl-BA"/>
              </w:rPr>
              <w:t xml:space="preserve"> </w:t>
            </w:r>
            <w:r w:rsidRPr="0085443D">
              <w:rPr>
                <w:rFonts w:asciiTheme="minorHAnsi" w:hAnsiTheme="minorHAnsi" w:cstheme="minorHAnsi"/>
                <w:b/>
                <w:sz w:val="16"/>
                <w:lang w:val="sr-Cyrl-BA"/>
              </w:rPr>
              <w:t>stalno</w:t>
            </w:r>
          </w:p>
        </w:tc>
        <w:tc>
          <w:tcPr>
            <w:tcW w:w="892" w:type="dxa"/>
          </w:tcPr>
          <w:p w14:paraId="23EEFAC2" w14:textId="77777777" w:rsidR="00824E83" w:rsidRPr="0085443D" w:rsidRDefault="007B3DED" w:rsidP="00A02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lang w:val="sr-Cyrl-BA"/>
              </w:rPr>
            </w:pPr>
            <w:r w:rsidRPr="0085443D">
              <w:rPr>
                <w:rFonts w:asciiTheme="minorHAnsi" w:hAnsiTheme="minorHAnsi" w:cstheme="minorHAnsi"/>
                <w:b/>
                <w:sz w:val="16"/>
                <w:lang w:val="sr-Cyrl-BA"/>
              </w:rPr>
              <w:t>Na</w:t>
            </w:r>
            <w:r w:rsidR="00824E83" w:rsidRPr="0085443D">
              <w:rPr>
                <w:rFonts w:asciiTheme="minorHAnsi" w:hAnsiTheme="minorHAnsi" w:cstheme="minorHAnsi"/>
                <w:b/>
                <w:sz w:val="16"/>
                <w:lang w:val="sr-Cyrl-BA"/>
              </w:rPr>
              <w:t xml:space="preserve"> </w:t>
            </w:r>
            <w:r w:rsidRPr="0085443D">
              <w:rPr>
                <w:rFonts w:asciiTheme="minorHAnsi" w:hAnsiTheme="minorHAnsi" w:cstheme="minorHAnsi"/>
                <w:b/>
                <w:sz w:val="16"/>
                <w:lang w:val="sr-Cyrl-BA"/>
              </w:rPr>
              <w:t>određeno</w:t>
            </w:r>
          </w:p>
        </w:tc>
        <w:tc>
          <w:tcPr>
            <w:tcW w:w="649" w:type="dxa"/>
          </w:tcPr>
          <w:p w14:paraId="2216A032" w14:textId="77777777" w:rsidR="00824E83" w:rsidRPr="0085443D" w:rsidRDefault="007B3DED" w:rsidP="00A02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lang w:val="sr-Cyrl-BA"/>
              </w:rPr>
            </w:pPr>
            <w:r w:rsidRPr="0085443D">
              <w:rPr>
                <w:rFonts w:asciiTheme="minorHAnsi" w:hAnsiTheme="minorHAnsi" w:cstheme="minorHAnsi"/>
                <w:b/>
                <w:sz w:val="16"/>
                <w:lang w:val="sr-Cyrl-BA"/>
              </w:rPr>
              <w:t>Za</w:t>
            </w:r>
            <w:r w:rsidR="00824E83" w:rsidRPr="0085443D">
              <w:rPr>
                <w:rFonts w:asciiTheme="minorHAnsi" w:hAnsiTheme="minorHAnsi" w:cstheme="minorHAnsi"/>
                <w:b/>
                <w:sz w:val="16"/>
                <w:lang w:val="sr-Cyrl-BA"/>
              </w:rPr>
              <w:t xml:space="preserve"> </w:t>
            </w:r>
            <w:r w:rsidRPr="0085443D">
              <w:rPr>
                <w:rFonts w:asciiTheme="minorHAnsi" w:hAnsiTheme="minorHAnsi" w:cstheme="minorHAnsi"/>
                <w:b/>
                <w:sz w:val="16"/>
                <w:lang w:val="sr-Cyrl-BA"/>
              </w:rPr>
              <w:t>stalno</w:t>
            </w:r>
          </w:p>
        </w:tc>
        <w:tc>
          <w:tcPr>
            <w:tcW w:w="892" w:type="dxa"/>
          </w:tcPr>
          <w:p w14:paraId="590C6F16" w14:textId="77777777" w:rsidR="00824E83" w:rsidRPr="0085443D" w:rsidRDefault="007B3DED" w:rsidP="00A02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lang w:val="sr-Cyrl-BA"/>
              </w:rPr>
            </w:pPr>
            <w:r w:rsidRPr="0085443D">
              <w:rPr>
                <w:rFonts w:asciiTheme="minorHAnsi" w:hAnsiTheme="minorHAnsi" w:cstheme="minorHAnsi"/>
                <w:b/>
                <w:sz w:val="16"/>
                <w:lang w:val="sr-Cyrl-BA"/>
              </w:rPr>
              <w:t>Na</w:t>
            </w:r>
            <w:r w:rsidR="00824E83" w:rsidRPr="0085443D">
              <w:rPr>
                <w:rFonts w:asciiTheme="minorHAnsi" w:hAnsiTheme="minorHAnsi" w:cstheme="minorHAnsi"/>
                <w:b/>
                <w:sz w:val="16"/>
                <w:lang w:val="sr-Cyrl-BA"/>
              </w:rPr>
              <w:t xml:space="preserve"> </w:t>
            </w:r>
            <w:r w:rsidRPr="0085443D">
              <w:rPr>
                <w:rFonts w:asciiTheme="minorHAnsi" w:hAnsiTheme="minorHAnsi" w:cstheme="minorHAnsi"/>
                <w:b/>
                <w:sz w:val="16"/>
                <w:lang w:val="sr-Cyrl-BA"/>
              </w:rPr>
              <w:t>određeno</w:t>
            </w:r>
          </w:p>
        </w:tc>
        <w:tc>
          <w:tcPr>
            <w:tcW w:w="649" w:type="dxa"/>
          </w:tcPr>
          <w:p w14:paraId="4D0E7F6D" w14:textId="77777777" w:rsidR="00824E83" w:rsidRPr="0085443D" w:rsidRDefault="007B3DED" w:rsidP="00A02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lang w:val="sr-Cyrl-BA"/>
              </w:rPr>
            </w:pPr>
            <w:r w:rsidRPr="0085443D">
              <w:rPr>
                <w:rFonts w:asciiTheme="minorHAnsi" w:hAnsiTheme="minorHAnsi" w:cstheme="minorHAnsi"/>
                <w:b/>
                <w:sz w:val="16"/>
                <w:lang w:val="sr-Cyrl-BA"/>
              </w:rPr>
              <w:t>Za</w:t>
            </w:r>
            <w:r w:rsidR="00824E83" w:rsidRPr="0085443D">
              <w:rPr>
                <w:rFonts w:asciiTheme="minorHAnsi" w:hAnsiTheme="minorHAnsi" w:cstheme="minorHAnsi"/>
                <w:b/>
                <w:sz w:val="16"/>
                <w:lang w:val="sr-Cyrl-BA"/>
              </w:rPr>
              <w:t xml:space="preserve"> </w:t>
            </w:r>
            <w:r w:rsidRPr="0085443D">
              <w:rPr>
                <w:rFonts w:asciiTheme="minorHAnsi" w:hAnsiTheme="minorHAnsi" w:cstheme="minorHAnsi"/>
                <w:b/>
                <w:sz w:val="16"/>
                <w:lang w:val="sr-Cyrl-BA"/>
              </w:rPr>
              <w:t>stalno</w:t>
            </w:r>
          </w:p>
        </w:tc>
        <w:tc>
          <w:tcPr>
            <w:tcW w:w="892" w:type="dxa"/>
          </w:tcPr>
          <w:p w14:paraId="403B49AC" w14:textId="77777777" w:rsidR="00824E83" w:rsidRPr="0085443D" w:rsidRDefault="007B3DED" w:rsidP="00A02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lang w:val="sr-Cyrl-BA"/>
              </w:rPr>
            </w:pPr>
            <w:r w:rsidRPr="0085443D">
              <w:rPr>
                <w:rFonts w:asciiTheme="minorHAnsi" w:hAnsiTheme="minorHAnsi" w:cstheme="minorHAnsi"/>
                <w:b/>
                <w:sz w:val="16"/>
                <w:lang w:val="sr-Cyrl-BA"/>
              </w:rPr>
              <w:t>Na</w:t>
            </w:r>
            <w:r w:rsidR="00824E83" w:rsidRPr="0085443D">
              <w:rPr>
                <w:rFonts w:asciiTheme="minorHAnsi" w:hAnsiTheme="minorHAnsi" w:cstheme="minorHAnsi"/>
                <w:b/>
                <w:sz w:val="16"/>
                <w:lang w:val="sr-Cyrl-BA"/>
              </w:rPr>
              <w:t xml:space="preserve"> </w:t>
            </w:r>
            <w:r w:rsidRPr="0085443D">
              <w:rPr>
                <w:rFonts w:asciiTheme="minorHAnsi" w:hAnsiTheme="minorHAnsi" w:cstheme="minorHAnsi"/>
                <w:b/>
                <w:sz w:val="16"/>
                <w:lang w:val="sr-Cyrl-BA"/>
              </w:rPr>
              <w:t>određeno</w:t>
            </w:r>
          </w:p>
        </w:tc>
        <w:tc>
          <w:tcPr>
            <w:tcW w:w="649" w:type="dxa"/>
          </w:tcPr>
          <w:p w14:paraId="3D86137E" w14:textId="77777777" w:rsidR="00824E83" w:rsidRPr="0085443D" w:rsidRDefault="007B3DED" w:rsidP="00A02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lang w:val="sr-Cyrl-BA"/>
              </w:rPr>
            </w:pPr>
            <w:r w:rsidRPr="0085443D">
              <w:rPr>
                <w:rFonts w:asciiTheme="minorHAnsi" w:hAnsiTheme="minorHAnsi" w:cstheme="minorHAnsi"/>
                <w:b/>
                <w:sz w:val="16"/>
                <w:lang w:val="sr-Cyrl-BA"/>
              </w:rPr>
              <w:t>Za</w:t>
            </w:r>
            <w:r w:rsidR="00824E83" w:rsidRPr="0085443D">
              <w:rPr>
                <w:rFonts w:asciiTheme="minorHAnsi" w:hAnsiTheme="minorHAnsi" w:cstheme="minorHAnsi"/>
                <w:b/>
                <w:sz w:val="16"/>
                <w:lang w:val="sr-Cyrl-BA"/>
              </w:rPr>
              <w:t xml:space="preserve"> </w:t>
            </w:r>
            <w:r w:rsidRPr="0085443D">
              <w:rPr>
                <w:rFonts w:asciiTheme="minorHAnsi" w:hAnsiTheme="minorHAnsi" w:cstheme="minorHAnsi"/>
                <w:b/>
                <w:sz w:val="16"/>
                <w:lang w:val="sr-Cyrl-BA"/>
              </w:rPr>
              <w:t>stalno</w:t>
            </w:r>
          </w:p>
        </w:tc>
        <w:tc>
          <w:tcPr>
            <w:tcW w:w="892" w:type="dxa"/>
          </w:tcPr>
          <w:p w14:paraId="5BA6919A" w14:textId="77777777" w:rsidR="00824E83" w:rsidRPr="0085443D" w:rsidRDefault="007B3DED" w:rsidP="00A02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lang w:val="sr-Cyrl-BA"/>
              </w:rPr>
            </w:pPr>
            <w:r w:rsidRPr="0085443D">
              <w:rPr>
                <w:rFonts w:asciiTheme="minorHAnsi" w:hAnsiTheme="minorHAnsi" w:cstheme="minorHAnsi"/>
                <w:b/>
                <w:sz w:val="16"/>
                <w:lang w:val="sr-Cyrl-BA"/>
              </w:rPr>
              <w:t>Na</w:t>
            </w:r>
            <w:r w:rsidR="00824E83" w:rsidRPr="0085443D">
              <w:rPr>
                <w:rFonts w:asciiTheme="minorHAnsi" w:hAnsiTheme="minorHAnsi" w:cstheme="minorHAnsi"/>
                <w:b/>
                <w:sz w:val="16"/>
                <w:lang w:val="sr-Cyrl-BA"/>
              </w:rPr>
              <w:t xml:space="preserve"> </w:t>
            </w:r>
            <w:r w:rsidRPr="0085443D">
              <w:rPr>
                <w:rFonts w:asciiTheme="minorHAnsi" w:hAnsiTheme="minorHAnsi" w:cstheme="minorHAnsi"/>
                <w:b/>
                <w:sz w:val="16"/>
                <w:lang w:val="sr-Cyrl-BA"/>
              </w:rPr>
              <w:t>određeno</w:t>
            </w:r>
          </w:p>
        </w:tc>
        <w:tc>
          <w:tcPr>
            <w:tcW w:w="649" w:type="dxa"/>
          </w:tcPr>
          <w:p w14:paraId="202CB011" w14:textId="77777777" w:rsidR="00824E83" w:rsidRPr="0085443D" w:rsidRDefault="007B3DED" w:rsidP="00A02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lang w:val="sr-Cyrl-BA"/>
              </w:rPr>
            </w:pPr>
            <w:r w:rsidRPr="0085443D">
              <w:rPr>
                <w:rFonts w:asciiTheme="minorHAnsi" w:hAnsiTheme="minorHAnsi" w:cstheme="minorHAnsi"/>
                <w:b/>
                <w:sz w:val="16"/>
                <w:lang w:val="sr-Cyrl-BA"/>
              </w:rPr>
              <w:t>Za</w:t>
            </w:r>
            <w:r w:rsidR="00824E83" w:rsidRPr="0085443D">
              <w:rPr>
                <w:rFonts w:asciiTheme="minorHAnsi" w:hAnsiTheme="minorHAnsi" w:cstheme="minorHAnsi"/>
                <w:b/>
                <w:sz w:val="16"/>
                <w:lang w:val="sr-Cyrl-BA"/>
              </w:rPr>
              <w:t xml:space="preserve"> </w:t>
            </w:r>
            <w:r w:rsidRPr="0085443D">
              <w:rPr>
                <w:rFonts w:asciiTheme="minorHAnsi" w:hAnsiTheme="minorHAnsi" w:cstheme="minorHAnsi"/>
                <w:b/>
                <w:sz w:val="16"/>
                <w:lang w:val="sr-Cyrl-BA"/>
              </w:rPr>
              <w:t>stalno</w:t>
            </w:r>
          </w:p>
        </w:tc>
        <w:tc>
          <w:tcPr>
            <w:tcW w:w="892" w:type="dxa"/>
          </w:tcPr>
          <w:p w14:paraId="6D6B3DF6" w14:textId="77777777" w:rsidR="00824E83" w:rsidRPr="0085443D" w:rsidRDefault="007B3DED" w:rsidP="00A02E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lang w:val="sr-Cyrl-BA"/>
              </w:rPr>
            </w:pPr>
            <w:r w:rsidRPr="0085443D">
              <w:rPr>
                <w:rFonts w:asciiTheme="minorHAnsi" w:hAnsiTheme="minorHAnsi" w:cstheme="minorHAnsi"/>
                <w:b/>
                <w:sz w:val="16"/>
                <w:lang w:val="sr-Cyrl-BA"/>
              </w:rPr>
              <w:t>Na</w:t>
            </w:r>
            <w:r w:rsidR="00824E83" w:rsidRPr="0085443D">
              <w:rPr>
                <w:rFonts w:asciiTheme="minorHAnsi" w:hAnsiTheme="minorHAnsi" w:cstheme="minorHAnsi"/>
                <w:b/>
                <w:sz w:val="16"/>
                <w:lang w:val="sr-Cyrl-BA"/>
              </w:rPr>
              <w:t xml:space="preserve"> </w:t>
            </w:r>
            <w:r w:rsidRPr="0085443D">
              <w:rPr>
                <w:rFonts w:asciiTheme="minorHAnsi" w:hAnsiTheme="minorHAnsi" w:cstheme="minorHAnsi"/>
                <w:b/>
                <w:sz w:val="16"/>
                <w:lang w:val="sr-Cyrl-BA"/>
              </w:rPr>
              <w:t>određeno</w:t>
            </w:r>
          </w:p>
        </w:tc>
      </w:tr>
      <w:tr w:rsidR="006C7585" w:rsidRPr="0085443D" w14:paraId="43657327" w14:textId="77777777" w:rsidTr="006C7585">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tcBorders>
          </w:tcPr>
          <w:p w14:paraId="784D432F" w14:textId="77777777" w:rsidR="00824E83" w:rsidRPr="0085443D" w:rsidRDefault="007B3DED" w:rsidP="00A02EC1">
            <w:pPr>
              <w:jc w:val="both"/>
              <w:rPr>
                <w:rFonts w:asciiTheme="minorHAnsi" w:hAnsiTheme="minorHAnsi" w:cstheme="minorHAnsi"/>
                <w:color w:val="auto"/>
                <w:lang w:val="sr-Cyrl-BA"/>
              </w:rPr>
            </w:pPr>
            <w:r w:rsidRPr="0085443D">
              <w:rPr>
                <w:rFonts w:asciiTheme="minorHAnsi" w:hAnsiTheme="minorHAnsi" w:cstheme="minorHAnsi"/>
                <w:color w:val="auto"/>
                <w:lang w:val="sr-Cyrl-BA"/>
              </w:rPr>
              <w:t>MEDICINSKI</w:t>
            </w:r>
            <w:r w:rsidR="00824E83" w:rsidRPr="0085443D">
              <w:rPr>
                <w:rFonts w:asciiTheme="minorHAnsi" w:hAnsiTheme="minorHAnsi" w:cstheme="minorHAnsi"/>
                <w:color w:val="auto"/>
                <w:lang w:val="sr-Cyrl-BA"/>
              </w:rPr>
              <w:t xml:space="preserve"> </w:t>
            </w:r>
            <w:r w:rsidR="006E6EE4" w:rsidRPr="0085443D">
              <w:rPr>
                <w:rFonts w:asciiTheme="minorHAnsi" w:hAnsiTheme="minorHAnsi" w:cstheme="minorHAnsi"/>
                <w:color w:val="auto"/>
                <w:lang w:val="sr-Cyrl-BA"/>
              </w:rPr>
              <w:t>RADNICI</w:t>
            </w:r>
          </w:p>
        </w:tc>
        <w:tc>
          <w:tcPr>
            <w:tcW w:w="649" w:type="dxa"/>
          </w:tcPr>
          <w:p w14:paraId="47175876"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94</w:t>
            </w:r>
          </w:p>
        </w:tc>
        <w:tc>
          <w:tcPr>
            <w:tcW w:w="892" w:type="dxa"/>
          </w:tcPr>
          <w:p w14:paraId="65A98068"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16</w:t>
            </w:r>
          </w:p>
        </w:tc>
        <w:tc>
          <w:tcPr>
            <w:tcW w:w="649" w:type="dxa"/>
          </w:tcPr>
          <w:p w14:paraId="32AFF1F2"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95</w:t>
            </w:r>
          </w:p>
        </w:tc>
        <w:tc>
          <w:tcPr>
            <w:tcW w:w="892" w:type="dxa"/>
          </w:tcPr>
          <w:p w14:paraId="22E1946D"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11</w:t>
            </w:r>
          </w:p>
        </w:tc>
        <w:tc>
          <w:tcPr>
            <w:tcW w:w="649" w:type="dxa"/>
          </w:tcPr>
          <w:p w14:paraId="4307E653"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98</w:t>
            </w:r>
          </w:p>
        </w:tc>
        <w:tc>
          <w:tcPr>
            <w:tcW w:w="892" w:type="dxa"/>
          </w:tcPr>
          <w:p w14:paraId="211BD7FE"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9</w:t>
            </w:r>
          </w:p>
        </w:tc>
        <w:tc>
          <w:tcPr>
            <w:tcW w:w="649" w:type="dxa"/>
          </w:tcPr>
          <w:p w14:paraId="4439FCF2"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101</w:t>
            </w:r>
          </w:p>
        </w:tc>
        <w:tc>
          <w:tcPr>
            <w:tcW w:w="892" w:type="dxa"/>
          </w:tcPr>
          <w:p w14:paraId="7FA9A94D"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7</w:t>
            </w:r>
          </w:p>
        </w:tc>
        <w:tc>
          <w:tcPr>
            <w:tcW w:w="649" w:type="dxa"/>
          </w:tcPr>
          <w:p w14:paraId="2AD0E390"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105</w:t>
            </w:r>
          </w:p>
        </w:tc>
        <w:tc>
          <w:tcPr>
            <w:tcW w:w="892" w:type="dxa"/>
          </w:tcPr>
          <w:p w14:paraId="2AB6D711"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2</w:t>
            </w:r>
          </w:p>
        </w:tc>
      </w:tr>
      <w:tr w:rsidR="006C7585" w:rsidRPr="0085443D" w14:paraId="0B3289D6" w14:textId="77777777" w:rsidTr="006C7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tcBorders>
          </w:tcPr>
          <w:p w14:paraId="25FF800D" w14:textId="77777777" w:rsidR="00824E83" w:rsidRPr="0085443D" w:rsidRDefault="006E6EE4" w:rsidP="00A02EC1">
            <w:pPr>
              <w:jc w:val="both"/>
              <w:rPr>
                <w:rFonts w:asciiTheme="minorHAnsi" w:hAnsiTheme="minorHAnsi" w:cstheme="minorHAnsi"/>
                <w:color w:val="auto"/>
                <w:lang w:val="sr-Cyrl-BA"/>
              </w:rPr>
            </w:pPr>
            <w:r w:rsidRPr="0085443D">
              <w:rPr>
                <w:rFonts w:asciiTheme="minorHAnsi" w:hAnsiTheme="minorHAnsi" w:cstheme="minorHAnsi"/>
                <w:color w:val="auto"/>
                <w:lang w:val="sr-Cyrl-BA"/>
              </w:rPr>
              <w:t>NEMEDICINSKI</w:t>
            </w:r>
            <w:r w:rsidR="00824E83" w:rsidRPr="0085443D">
              <w:rPr>
                <w:rFonts w:asciiTheme="minorHAnsi" w:hAnsiTheme="minorHAnsi" w:cstheme="minorHAnsi"/>
                <w:color w:val="auto"/>
                <w:lang w:val="sr-Cyrl-BA"/>
              </w:rPr>
              <w:t xml:space="preserve"> </w:t>
            </w:r>
            <w:r w:rsidRPr="0085443D">
              <w:rPr>
                <w:rFonts w:asciiTheme="minorHAnsi" w:hAnsiTheme="minorHAnsi" w:cstheme="minorHAnsi"/>
                <w:color w:val="auto"/>
                <w:lang w:val="sr-Cyrl-BA"/>
              </w:rPr>
              <w:t>RADNICI</w:t>
            </w:r>
          </w:p>
        </w:tc>
        <w:tc>
          <w:tcPr>
            <w:tcW w:w="649" w:type="dxa"/>
          </w:tcPr>
          <w:p w14:paraId="55E0473E" w14:textId="77777777" w:rsidR="00824E83" w:rsidRPr="0085443D" w:rsidRDefault="00824E83"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45</w:t>
            </w:r>
          </w:p>
        </w:tc>
        <w:tc>
          <w:tcPr>
            <w:tcW w:w="892" w:type="dxa"/>
          </w:tcPr>
          <w:p w14:paraId="1819EB2B" w14:textId="77777777" w:rsidR="00824E83" w:rsidRPr="0085443D" w:rsidRDefault="00824E83"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3</w:t>
            </w:r>
          </w:p>
        </w:tc>
        <w:tc>
          <w:tcPr>
            <w:tcW w:w="649" w:type="dxa"/>
          </w:tcPr>
          <w:p w14:paraId="355F9BB3" w14:textId="77777777" w:rsidR="00824E83" w:rsidRPr="0085443D" w:rsidRDefault="00824E83"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50</w:t>
            </w:r>
          </w:p>
        </w:tc>
        <w:tc>
          <w:tcPr>
            <w:tcW w:w="892" w:type="dxa"/>
          </w:tcPr>
          <w:p w14:paraId="2FE4FC04" w14:textId="77777777" w:rsidR="00824E83" w:rsidRPr="0085443D" w:rsidRDefault="00824E83"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2</w:t>
            </w:r>
          </w:p>
        </w:tc>
        <w:tc>
          <w:tcPr>
            <w:tcW w:w="649" w:type="dxa"/>
          </w:tcPr>
          <w:p w14:paraId="7EA5050F" w14:textId="77777777" w:rsidR="00824E83" w:rsidRPr="0085443D" w:rsidRDefault="00824E83"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39</w:t>
            </w:r>
          </w:p>
        </w:tc>
        <w:tc>
          <w:tcPr>
            <w:tcW w:w="892" w:type="dxa"/>
          </w:tcPr>
          <w:p w14:paraId="1BC007F6" w14:textId="77777777" w:rsidR="00824E83" w:rsidRPr="0085443D" w:rsidRDefault="00824E83"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2</w:t>
            </w:r>
          </w:p>
        </w:tc>
        <w:tc>
          <w:tcPr>
            <w:tcW w:w="649" w:type="dxa"/>
          </w:tcPr>
          <w:p w14:paraId="30FE376B" w14:textId="77777777" w:rsidR="00824E83" w:rsidRPr="0085443D" w:rsidRDefault="00824E83"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36</w:t>
            </w:r>
          </w:p>
        </w:tc>
        <w:tc>
          <w:tcPr>
            <w:tcW w:w="892" w:type="dxa"/>
          </w:tcPr>
          <w:p w14:paraId="23A0CF8D" w14:textId="77777777" w:rsidR="00824E83" w:rsidRPr="0085443D" w:rsidRDefault="00824E83"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5</w:t>
            </w:r>
          </w:p>
        </w:tc>
        <w:tc>
          <w:tcPr>
            <w:tcW w:w="649" w:type="dxa"/>
          </w:tcPr>
          <w:p w14:paraId="6B47193B" w14:textId="77777777" w:rsidR="00824E83" w:rsidRPr="0085443D" w:rsidRDefault="00824E83"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40</w:t>
            </w:r>
          </w:p>
        </w:tc>
        <w:tc>
          <w:tcPr>
            <w:tcW w:w="892" w:type="dxa"/>
          </w:tcPr>
          <w:p w14:paraId="219FD170" w14:textId="77777777" w:rsidR="00824E83" w:rsidRPr="0085443D" w:rsidRDefault="00824E83"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3</w:t>
            </w:r>
          </w:p>
        </w:tc>
      </w:tr>
      <w:tr w:rsidR="006C7585" w:rsidRPr="0085443D" w14:paraId="2E5733B1" w14:textId="77777777" w:rsidTr="006C7585">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tcBorders>
          </w:tcPr>
          <w:p w14:paraId="2CDE898C" w14:textId="77777777" w:rsidR="00824E83" w:rsidRPr="0085443D" w:rsidRDefault="007B3DED" w:rsidP="00A02EC1">
            <w:pPr>
              <w:jc w:val="both"/>
              <w:rPr>
                <w:rFonts w:asciiTheme="minorHAnsi" w:hAnsiTheme="minorHAnsi" w:cstheme="minorHAnsi"/>
                <w:color w:val="auto"/>
                <w:lang w:val="sr-Cyrl-BA"/>
              </w:rPr>
            </w:pPr>
            <w:r w:rsidRPr="0085443D">
              <w:rPr>
                <w:rFonts w:asciiTheme="minorHAnsi" w:hAnsiTheme="minorHAnsi" w:cstheme="minorHAnsi"/>
                <w:color w:val="auto"/>
                <w:lang w:val="sr-Cyrl-BA"/>
              </w:rPr>
              <w:t>UKUPNO</w:t>
            </w:r>
          </w:p>
        </w:tc>
        <w:tc>
          <w:tcPr>
            <w:tcW w:w="649" w:type="dxa"/>
          </w:tcPr>
          <w:p w14:paraId="704F792D"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139</w:t>
            </w:r>
          </w:p>
        </w:tc>
        <w:tc>
          <w:tcPr>
            <w:tcW w:w="892" w:type="dxa"/>
          </w:tcPr>
          <w:p w14:paraId="33E8B1D4" w14:textId="77777777" w:rsidR="00824E83" w:rsidRPr="0085443D" w:rsidRDefault="006E6EE4"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19</w:t>
            </w:r>
          </w:p>
        </w:tc>
        <w:tc>
          <w:tcPr>
            <w:tcW w:w="649" w:type="dxa"/>
          </w:tcPr>
          <w:p w14:paraId="00FADCE0"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145</w:t>
            </w:r>
          </w:p>
        </w:tc>
        <w:tc>
          <w:tcPr>
            <w:tcW w:w="892" w:type="dxa"/>
          </w:tcPr>
          <w:p w14:paraId="32F81C19"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13</w:t>
            </w:r>
          </w:p>
        </w:tc>
        <w:tc>
          <w:tcPr>
            <w:tcW w:w="649" w:type="dxa"/>
          </w:tcPr>
          <w:p w14:paraId="735AB0B0"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137</w:t>
            </w:r>
          </w:p>
        </w:tc>
        <w:tc>
          <w:tcPr>
            <w:tcW w:w="892" w:type="dxa"/>
          </w:tcPr>
          <w:p w14:paraId="793951D3"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11</w:t>
            </w:r>
          </w:p>
        </w:tc>
        <w:tc>
          <w:tcPr>
            <w:tcW w:w="649" w:type="dxa"/>
          </w:tcPr>
          <w:p w14:paraId="2704F3E1"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137</w:t>
            </w:r>
          </w:p>
        </w:tc>
        <w:tc>
          <w:tcPr>
            <w:tcW w:w="892" w:type="dxa"/>
          </w:tcPr>
          <w:p w14:paraId="040CCBB2"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12</w:t>
            </w:r>
          </w:p>
        </w:tc>
        <w:tc>
          <w:tcPr>
            <w:tcW w:w="649" w:type="dxa"/>
          </w:tcPr>
          <w:p w14:paraId="79EF0DAE"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145</w:t>
            </w:r>
          </w:p>
        </w:tc>
        <w:tc>
          <w:tcPr>
            <w:tcW w:w="892" w:type="dxa"/>
          </w:tcPr>
          <w:p w14:paraId="62ECB7E2" w14:textId="77777777" w:rsidR="00824E83" w:rsidRPr="0085443D" w:rsidRDefault="00824E83"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5</w:t>
            </w:r>
          </w:p>
        </w:tc>
      </w:tr>
      <w:tr w:rsidR="006C7585" w:rsidRPr="0085443D" w14:paraId="0FEC7B7C" w14:textId="77777777" w:rsidTr="006C7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left w:val="none" w:sz="0" w:space="0" w:color="auto"/>
              <w:bottom w:val="none" w:sz="0" w:space="0" w:color="auto"/>
            </w:tcBorders>
          </w:tcPr>
          <w:p w14:paraId="6266D7ED" w14:textId="77777777" w:rsidR="00824E83" w:rsidRPr="0085443D" w:rsidRDefault="00824E83" w:rsidP="00A02EC1">
            <w:pPr>
              <w:jc w:val="both"/>
              <w:rPr>
                <w:rFonts w:asciiTheme="minorHAnsi" w:hAnsiTheme="minorHAnsi" w:cstheme="minorHAnsi"/>
                <w:color w:val="auto"/>
                <w:lang w:val="sr-Cyrl-BA"/>
              </w:rPr>
            </w:pPr>
          </w:p>
        </w:tc>
        <w:tc>
          <w:tcPr>
            <w:tcW w:w="1541" w:type="dxa"/>
            <w:gridSpan w:val="2"/>
          </w:tcPr>
          <w:p w14:paraId="1E769C01" w14:textId="77777777" w:rsidR="00824E83" w:rsidRPr="0085443D" w:rsidRDefault="00824E83" w:rsidP="00A02E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158</w:t>
            </w:r>
          </w:p>
        </w:tc>
        <w:tc>
          <w:tcPr>
            <w:tcW w:w="1541" w:type="dxa"/>
            <w:gridSpan w:val="2"/>
          </w:tcPr>
          <w:p w14:paraId="474BA456" w14:textId="77777777" w:rsidR="00824E83" w:rsidRPr="0085443D" w:rsidRDefault="00824E83" w:rsidP="00A02E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158</w:t>
            </w:r>
          </w:p>
        </w:tc>
        <w:tc>
          <w:tcPr>
            <w:tcW w:w="1541" w:type="dxa"/>
            <w:gridSpan w:val="2"/>
          </w:tcPr>
          <w:p w14:paraId="3BEC4624" w14:textId="77777777" w:rsidR="00824E83" w:rsidRPr="0085443D" w:rsidRDefault="00824E83" w:rsidP="00A02E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148</w:t>
            </w:r>
          </w:p>
        </w:tc>
        <w:tc>
          <w:tcPr>
            <w:tcW w:w="1541" w:type="dxa"/>
            <w:gridSpan w:val="2"/>
          </w:tcPr>
          <w:p w14:paraId="724BB72E" w14:textId="77777777" w:rsidR="00824E83" w:rsidRPr="0085443D" w:rsidRDefault="00824E83" w:rsidP="00A02E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149</w:t>
            </w:r>
          </w:p>
        </w:tc>
        <w:tc>
          <w:tcPr>
            <w:tcW w:w="1541" w:type="dxa"/>
            <w:gridSpan w:val="2"/>
          </w:tcPr>
          <w:p w14:paraId="5DBF5353" w14:textId="77777777" w:rsidR="00824E83" w:rsidRPr="0085443D" w:rsidRDefault="00824E83" w:rsidP="00A02E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150</w:t>
            </w:r>
          </w:p>
        </w:tc>
      </w:tr>
    </w:tbl>
    <w:p w14:paraId="7E49FFD6" w14:textId="434C5FD9" w:rsidR="00824E83" w:rsidRPr="0085443D" w:rsidRDefault="001A7A2E" w:rsidP="00824E83">
      <w:pPr>
        <w:jc w:val="both"/>
        <w:rPr>
          <w:rFonts w:ascii="Times New Roman" w:hAnsi="Times New Roman"/>
          <w:lang w:val="sr-Cyrl-BA"/>
        </w:rPr>
      </w:pPr>
      <w:r w:rsidRPr="0085443D">
        <w:t xml:space="preserve">JZU </w:t>
      </w:r>
      <w:r w:rsidR="006E6EE4" w:rsidRPr="0085443D">
        <w:t xml:space="preserve">Dom zdravlja Prnjavor </w:t>
      </w:r>
      <w:r w:rsidRPr="0085443D">
        <w:t xml:space="preserve">je u periodu od 2013. do 2016. godine izvršila ukupna ulaganja u građevinske objekte, opremu i usluge u iznosu od </w:t>
      </w:r>
      <w:r w:rsidRPr="0085443D">
        <w:rPr>
          <w:rFonts w:eastAsia="Times New Roman" w:cs="Calibri"/>
          <w:bCs/>
          <w:color w:val="000000"/>
          <w:lang w:val="en-US"/>
        </w:rPr>
        <w:t>329</w:t>
      </w:r>
      <w:r w:rsidR="006E6EE4" w:rsidRPr="0085443D">
        <w:rPr>
          <w:rFonts w:eastAsia="Times New Roman" w:cs="Calibri"/>
          <w:bCs/>
          <w:color w:val="000000"/>
          <w:lang w:val="en-US"/>
        </w:rPr>
        <w:t>.</w:t>
      </w:r>
      <w:r w:rsidRPr="0085443D">
        <w:rPr>
          <w:rFonts w:eastAsia="Times New Roman" w:cs="Calibri"/>
          <w:bCs/>
          <w:color w:val="000000"/>
          <w:lang w:val="en-US"/>
        </w:rPr>
        <w:t>061</w:t>
      </w:r>
      <w:r w:rsidR="006E6EE4" w:rsidRPr="0085443D">
        <w:rPr>
          <w:rFonts w:eastAsia="Times New Roman" w:cs="Calibri"/>
          <w:bCs/>
          <w:color w:val="000000"/>
          <w:lang w:val="en-US"/>
        </w:rPr>
        <w:t>,</w:t>
      </w:r>
      <w:r w:rsidRPr="0085443D">
        <w:rPr>
          <w:rFonts w:eastAsia="Times New Roman" w:cs="Calibri"/>
          <w:bCs/>
          <w:color w:val="000000"/>
          <w:lang w:val="en-US"/>
        </w:rPr>
        <w:t>92. U vezi sa unapređenjem opreme treba istaknuti da je izvršena nabavka UZV aparata, tri EKG aparata, te laboratorijski</w:t>
      </w:r>
      <w:r w:rsidR="006E6EE4" w:rsidRPr="0085443D">
        <w:rPr>
          <w:rFonts w:eastAsia="Times New Roman" w:cs="Calibri"/>
          <w:bCs/>
          <w:color w:val="000000"/>
          <w:lang w:val="en-US"/>
        </w:rPr>
        <w:t>h</w:t>
      </w:r>
      <w:r w:rsidRPr="0085443D">
        <w:rPr>
          <w:rFonts w:eastAsia="Times New Roman" w:cs="Calibri"/>
          <w:bCs/>
          <w:color w:val="000000"/>
          <w:lang w:val="en-US"/>
        </w:rPr>
        <w:t xml:space="preserve"> aparat</w:t>
      </w:r>
      <w:r w:rsidR="006E6EE4" w:rsidRPr="0085443D">
        <w:rPr>
          <w:rFonts w:eastAsia="Times New Roman" w:cs="Calibri"/>
          <w:bCs/>
          <w:color w:val="000000"/>
          <w:lang w:val="en-US"/>
        </w:rPr>
        <w:t>a</w:t>
      </w:r>
      <w:r w:rsidRPr="0085443D">
        <w:rPr>
          <w:rFonts w:eastAsia="Times New Roman" w:cs="Calibri"/>
          <w:bCs/>
          <w:color w:val="000000"/>
          <w:lang w:val="en-US"/>
        </w:rPr>
        <w:t>. Međutim, i dalje je izražena potreba za generalnim remontom centralnog grijanja ili kupovinom nove mini toplane</w:t>
      </w:r>
      <w:r w:rsidR="00A619D1">
        <w:rPr>
          <w:rFonts w:eastAsia="Times New Roman" w:cs="Calibri"/>
          <w:bCs/>
          <w:color w:val="000000"/>
          <w:lang w:val="en-US"/>
        </w:rPr>
        <w:t xml:space="preserve">, </w:t>
      </w:r>
      <w:r w:rsidR="00A619D1" w:rsidRPr="00A619D1">
        <w:rPr>
          <w:rFonts w:eastAsia="Times New Roman" w:cs="Calibri"/>
          <w:bCs/>
          <w:color w:val="000000"/>
          <w:highlight w:val="cyan"/>
          <w:lang w:val="en-US"/>
        </w:rPr>
        <w:t>što su intervencije koje se mogu implementirati u narednom periodu, u skladu sa raspoloživošću sredstava</w:t>
      </w:r>
      <w:r w:rsidRPr="00A619D1">
        <w:rPr>
          <w:rFonts w:eastAsia="Times New Roman" w:cs="Calibri"/>
          <w:bCs/>
          <w:color w:val="000000"/>
          <w:highlight w:val="cyan"/>
          <w:lang w:val="en-US"/>
        </w:rPr>
        <w:t>.</w:t>
      </w:r>
      <w:r w:rsidRPr="0085443D">
        <w:rPr>
          <w:rFonts w:eastAsia="Times New Roman" w:cs="Calibri"/>
          <w:bCs/>
          <w:color w:val="000000"/>
          <w:lang w:val="en-US"/>
        </w:rPr>
        <w:t xml:space="preserve"> </w:t>
      </w:r>
    </w:p>
    <w:p w14:paraId="77E8B2FE" w14:textId="77777777" w:rsidR="00A12CBC" w:rsidRPr="0085443D" w:rsidRDefault="00A12CBC" w:rsidP="00824E83">
      <w:pPr>
        <w:jc w:val="both"/>
        <w:rPr>
          <w:rFonts w:ascii="Times New Roman" w:hAnsi="Times New Roman"/>
          <w:lang w:val="sr-Cyrl-BA"/>
        </w:rPr>
      </w:pPr>
    </w:p>
    <w:p w14:paraId="3527BD06" w14:textId="77777777" w:rsidR="003B497A" w:rsidRPr="0085443D" w:rsidRDefault="003B497A" w:rsidP="003B497A">
      <w:pPr>
        <w:spacing w:after="80"/>
        <w:rPr>
          <w:b/>
          <w:i/>
          <w:lang w:val="hr-HR"/>
        </w:rPr>
      </w:pPr>
      <w:r w:rsidRPr="0085443D">
        <w:rPr>
          <w:b/>
          <w:i/>
          <w:lang w:val="hr-HR"/>
        </w:rPr>
        <w:t>Socijalna zaštita</w:t>
      </w:r>
    </w:p>
    <w:p w14:paraId="508B67AB" w14:textId="77777777" w:rsidR="00DC69AD" w:rsidRPr="0085443D" w:rsidRDefault="002A3236" w:rsidP="003B497A">
      <w:pPr>
        <w:spacing w:after="80"/>
        <w:rPr>
          <w:b/>
          <w:i/>
          <w:lang w:val="hr-HR"/>
        </w:rPr>
      </w:pPr>
      <w:r w:rsidRPr="0085443D">
        <w:rPr>
          <w:rFonts w:asciiTheme="minorHAnsi" w:eastAsia="Times New Roman" w:hAnsiTheme="minorHAnsi" w:cstheme="minorHAnsi"/>
          <w:b/>
          <w:bCs/>
          <w:sz w:val="20"/>
          <w:szCs w:val="20"/>
          <w:lang w:val="en-US"/>
        </w:rPr>
        <w:t>Prava i usluge u socijalnoj zaštiti</w:t>
      </w:r>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935"/>
        <w:gridCol w:w="935"/>
        <w:gridCol w:w="935"/>
        <w:gridCol w:w="935"/>
        <w:gridCol w:w="935"/>
        <w:gridCol w:w="935"/>
        <w:gridCol w:w="935"/>
        <w:gridCol w:w="935"/>
        <w:gridCol w:w="935"/>
      </w:tblGrid>
      <w:tr w:rsidR="00DC69AD" w:rsidRPr="0085443D" w14:paraId="32E7D6F4" w14:textId="77777777" w:rsidTr="00DC69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gridSpan w:val="2"/>
            <w:tcBorders>
              <w:top w:val="none" w:sz="0" w:space="0" w:color="auto"/>
              <w:left w:val="none" w:sz="0" w:space="0" w:color="auto"/>
              <w:bottom w:val="none" w:sz="0" w:space="0" w:color="auto"/>
              <w:right w:val="none" w:sz="0" w:space="0" w:color="auto"/>
            </w:tcBorders>
            <w:noWrap/>
            <w:hideMark/>
          </w:tcPr>
          <w:p w14:paraId="0F14F8D2" w14:textId="77777777" w:rsidR="00DC69AD" w:rsidRPr="0085443D" w:rsidRDefault="00DC69AD" w:rsidP="00DC69AD">
            <w:pPr>
              <w:jc w:val="center"/>
              <w:rPr>
                <w:rFonts w:asciiTheme="minorHAnsi" w:eastAsia="Times New Roman" w:hAnsiTheme="minorHAnsi" w:cstheme="minorHAnsi"/>
                <w:color w:val="auto"/>
                <w:sz w:val="20"/>
                <w:szCs w:val="20"/>
                <w:lang w:val="en-US"/>
              </w:rPr>
            </w:pPr>
            <w:r w:rsidRPr="0085443D">
              <w:rPr>
                <w:rFonts w:asciiTheme="minorHAnsi" w:eastAsia="Times New Roman" w:hAnsiTheme="minorHAnsi" w:cstheme="minorHAnsi"/>
                <w:color w:val="auto"/>
                <w:sz w:val="20"/>
                <w:szCs w:val="20"/>
                <w:lang w:val="en-US"/>
              </w:rPr>
              <w:t>2012</w:t>
            </w:r>
          </w:p>
        </w:tc>
        <w:tc>
          <w:tcPr>
            <w:tcW w:w="1000" w:type="pct"/>
            <w:gridSpan w:val="2"/>
            <w:tcBorders>
              <w:top w:val="none" w:sz="0" w:space="0" w:color="auto"/>
              <w:left w:val="none" w:sz="0" w:space="0" w:color="auto"/>
              <w:bottom w:val="none" w:sz="0" w:space="0" w:color="auto"/>
              <w:right w:val="none" w:sz="0" w:space="0" w:color="auto"/>
            </w:tcBorders>
            <w:noWrap/>
            <w:hideMark/>
          </w:tcPr>
          <w:p w14:paraId="329A40C5" w14:textId="77777777" w:rsidR="00DC69AD" w:rsidRPr="0085443D" w:rsidRDefault="00DC69AD" w:rsidP="00DC69A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lang w:val="en-US"/>
              </w:rPr>
            </w:pPr>
            <w:r w:rsidRPr="0085443D">
              <w:rPr>
                <w:rFonts w:asciiTheme="minorHAnsi" w:eastAsia="Times New Roman" w:hAnsiTheme="minorHAnsi" w:cstheme="minorHAnsi"/>
                <w:color w:val="auto"/>
                <w:sz w:val="20"/>
                <w:szCs w:val="20"/>
                <w:lang w:val="en-US"/>
              </w:rPr>
              <w:t>2013</w:t>
            </w:r>
          </w:p>
        </w:tc>
        <w:tc>
          <w:tcPr>
            <w:tcW w:w="1000" w:type="pct"/>
            <w:gridSpan w:val="2"/>
            <w:tcBorders>
              <w:top w:val="none" w:sz="0" w:space="0" w:color="auto"/>
              <w:left w:val="none" w:sz="0" w:space="0" w:color="auto"/>
              <w:bottom w:val="none" w:sz="0" w:space="0" w:color="auto"/>
              <w:right w:val="none" w:sz="0" w:space="0" w:color="auto"/>
            </w:tcBorders>
            <w:noWrap/>
            <w:hideMark/>
          </w:tcPr>
          <w:p w14:paraId="62B38D0C" w14:textId="77777777" w:rsidR="00DC69AD" w:rsidRPr="0085443D" w:rsidRDefault="00DC69AD" w:rsidP="00DC69A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lang w:val="en-US"/>
              </w:rPr>
            </w:pPr>
            <w:r w:rsidRPr="0085443D">
              <w:rPr>
                <w:rFonts w:asciiTheme="minorHAnsi" w:eastAsia="Times New Roman" w:hAnsiTheme="minorHAnsi" w:cstheme="minorHAnsi"/>
                <w:color w:val="auto"/>
                <w:sz w:val="20"/>
                <w:szCs w:val="20"/>
                <w:lang w:val="en-US"/>
              </w:rPr>
              <w:t>2014</w:t>
            </w:r>
          </w:p>
        </w:tc>
        <w:tc>
          <w:tcPr>
            <w:tcW w:w="1000" w:type="pct"/>
            <w:gridSpan w:val="2"/>
            <w:tcBorders>
              <w:top w:val="none" w:sz="0" w:space="0" w:color="auto"/>
              <w:left w:val="none" w:sz="0" w:space="0" w:color="auto"/>
              <w:bottom w:val="none" w:sz="0" w:space="0" w:color="auto"/>
              <w:right w:val="none" w:sz="0" w:space="0" w:color="auto"/>
            </w:tcBorders>
            <w:noWrap/>
            <w:hideMark/>
          </w:tcPr>
          <w:p w14:paraId="1D36EA24" w14:textId="77777777" w:rsidR="00DC69AD" w:rsidRPr="0085443D" w:rsidRDefault="00DC69AD" w:rsidP="00DC69A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lang w:val="en-US"/>
              </w:rPr>
            </w:pPr>
            <w:r w:rsidRPr="0085443D">
              <w:rPr>
                <w:rFonts w:asciiTheme="minorHAnsi" w:eastAsia="Times New Roman" w:hAnsiTheme="minorHAnsi" w:cstheme="minorHAnsi"/>
                <w:color w:val="auto"/>
                <w:sz w:val="20"/>
                <w:szCs w:val="20"/>
                <w:lang w:val="en-US"/>
              </w:rPr>
              <w:t>2015</w:t>
            </w:r>
          </w:p>
        </w:tc>
        <w:tc>
          <w:tcPr>
            <w:tcW w:w="1000" w:type="pct"/>
            <w:gridSpan w:val="2"/>
            <w:tcBorders>
              <w:top w:val="none" w:sz="0" w:space="0" w:color="auto"/>
              <w:left w:val="none" w:sz="0" w:space="0" w:color="auto"/>
              <w:bottom w:val="none" w:sz="0" w:space="0" w:color="auto"/>
              <w:right w:val="none" w:sz="0" w:space="0" w:color="auto"/>
            </w:tcBorders>
            <w:noWrap/>
            <w:hideMark/>
          </w:tcPr>
          <w:p w14:paraId="5EC12651" w14:textId="77777777" w:rsidR="00DC69AD" w:rsidRPr="0085443D" w:rsidRDefault="00DC69AD" w:rsidP="00DC69A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lang w:val="en-US"/>
              </w:rPr>
            </w:pPr>
            <w:r w:rsidRPr="0085443D">
              <w:rPr>
                <w:rFonts w:asciiTheme="minorHAnsi" w:eastAsia="Times New Roman" w:hAnsiTheme="minorHAnsi" w:cstheme="minorHAnsi"/>
                <w:color w:val="auto"/>
                <w:sz w:val="20"/>
                <w:szCs w:val="20"/>
                <w:lang w:val="en-US"/>
              </w:rPr>
              <w:t>2016</w:t>
            </w:r>
          </w:p>
        </w:tc>
      </w:tr>
      <w:tr w:rsidR="00DC69AD" w:rsidRPr="0085443D" w14:paraId="58E6E97F" w14:textId="77777777" w:rsidTr="00DC69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 w:type="pct"/>
            <w:noWrap/>
            <w:hideMark/>
          </w:tcPr>
          <w:p w14:paraId="032E2D34" w14:textId="77777777" w:rsidR="00DC69AD" w:rsidRPr="0085443D" w:rsidRDefault="00DC69AD" w:rsidP="00DC69AD">
            <w:pPr>
              <w:jc w:val="center"/>
              <w:rPr>
                <w:rFonts w:asciiTheme="minorHAnsi" w:eastAsia="Times New Roman" w:hAnsiTheme="minorHAnsi" w:cstheme="minorHAnsi"/>
                <w:sz w:val="18"/>
                <w:szCs w:val="20"/>
                <w:lang w:val="en-US"/>
              </w:rPr>
            </w:pPr>
            <w:r w:rsidRPr="0085443D">
              <w:rPr>
                <w:rFonts w:asciiTheme="minorHAnsi" w:eastAsia="Times New Roman" w:hAnsiTheme="minorHAnsi" w:cstheme="minorHAnsi"/>
                <w:sz w:val="18"/>
                <w:szCs w:val="20"/>
                <w:lang w:val="en-US"/>
              </w:rPr>
              <w:t>Broj korisnika</w:t>
            </w:r>
          </w:p>
        </w:tc>
        <w:tc>
          <w:tcPr>
            <w:tcW w:w="500" w:type="pct"/>
            <w:noWrap/>
            <w:hideMark/>
          </w:tcPr>
          <w:p w14:paraId="1D88E036" w14:textId="77777777" w:rsidR="00DC69AD" w:rsidRPr="0085443D" w:rsidRDefault="00DC69AD" w:rsidP="00DC69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8"/>
                <w:szCs w:val="20"/>
                <w:lang w:val="en-US"/>
              </w:rPr>
            </w:pPr>
            <w:r w:rsidRPr="0085443D">
              <w:rPr>
                <w:rFonts w:asciiTheme="minorHAnsi" w:eastAsia="Times New Roman" w:hAnsiTheme="minorHAnsi" w:cstheme="minorHAnsi"/>
                <w:b/>
                <w:bCs/>
                <w:sz w:val="18"/>
                <w:szCs w:val="20"/>
                <w:lang w:val="en-US"/>
              </w:rPr>
              <w:t>Utrošenasredstva</w:t>
            </w:r>
          </w:p>
        </w:tc>
        <w:tc>
          <w:tcPr>
            <w:tcW w:w="500" w:type="pct"/>
            <w:noWrap/>
            <w:hideMark/>
          </w:tcPr>
          <w:p w14:paraId="270E3390" w14:textId="77777777" w:rsidR="00DC69AD" w:rsidRPr="0085443D" w:rsidRDefault="00DC69AD" w:rsidP="00DC69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8"/>
                <w:szCs w:val="20"/>
                <w:lang w:val="en-US"/>
              </w:rPr>
            </w:pPr>
            <w:r w:rsidRPr="0085443D">
              <w:rPr>
                <w:rFonts w:asciiTheme="minorHAnsi" w:eastAsia="Times New Roman" w:hAnsiTheme="minorHAnsi" w:cstheme="minorHAnsi"/>
                <w:b/>
                <w:bCs/>
                <w:sz w:val="18"/>
                <w:szCs w:val="20"/>
                <w:lang w:val="en-US"/>
              </w:rPr>
              <w:t>Broj korisnika</w:t>
            </w:r>
          </w:p>
        </w:tc>
        <w:tc>
          <w:tcPr>
            <w:tcW w:w="500" w:type="pct"/>
            <w:noWrap/>
            <w:hideMark/>
          </w:tcPr>
          <w:p w14:paraId="66DCF1C7" w14:textId="77777777" w:rsidR="00DC69AD" w:rsidRPr="0085443D" w:rsidRDefault="00DC69AD" w:rsidP="00DC69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8"/>
                <w:szCs w:val="20"/>
                <w:lang w:val="en-US"/>
              </w:rPr>
            </w:pPr>
            <w:r w:rsidRPr="0085443D">
              <w:rPr>
                <w:rFonts w:asciiTheme="minorHAnsi" w:eastAsia="Times New Roman" w:hAnsiTheme="minorHAnsi" w:cstheme="minorHAnsi"/>
                <w:b/>
                <w:bCs/>
                <w:sz w:val="18"/>
                <w:szCs w:val="20"/>
                <w:lang w:val="en-US"/>
              </w:rPr>
              <w:t>Utrošenasredstva</w:t>
            </w:r>
          </w:p>
        </w:tc>
        <w:tc>
          <w:tcPr>
            <w:tcW w:w="500" w:type="pct"/>
            <w:noWrap/>
            <w:hideMark/>
          </w:tcPr>
          <w:p w14:paraId="453450A9" w14:textId="77777777" w:rsidR="00DC69AD" w:rsidRPr="0085443D" w:rsidRDefault="00DC69AD" w:rsidP="00DC69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8"/>
                <w:szCs w:val="20"/>
                <w:lang w:val="en-US"/>
              </w:rPr>
            </w:pPr>
            <w:r w:rsidRPr="0085443D">
              <w:rPr>
                <w:rFonts w:asciiTheme="minorHAnsi" w:eastAsia="Times New Roman" w:hAnsiTheme="minorHAnsi" w:cstheme="minorHAnsi"/>
                <w:b/>
                <w:bCs/>
                <w:sz w:val="18"/>
                <w:szCs w:val="20"/>
                <w:lang w:val="en-US"/>
              </w:rPr>
              <w:t>Broj korisnika</w:t>
            </w:r>
          </w:p>
        </w:tc>
        <w:tc>
          <w:tcPr>
            <w:tcW w:w="500" w:type="pct"/>
            <w:noWrap/>
            <w:hideMark/>
          </w:tcPr>
          <w:p w14:paraId="0307366B" w14:textId="77777777" w:rsidR="00DC69AD" w:rsidRPr="0085443D" w:rsidRDefault="00DC69AD" w:rsidP="00DC69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8"/>
                <w:szCs w:val="20"/>
                <w:lang w:val="en-US"/>
              </w:rPr>
            </w:pPr>
            <w:r w:rsidRPr="0085443D">
              <w:rPr>
                <w:rFonts w:asciiTheme="minorHAnsi" w:eastAsia="Times New Roman" w:hAnsiTheme="minorHAnsi" w:cstheme="minorHAnsi"/>
                <w:b/>
                <w:bCs/>
                <w:sz w:val="18"/>
                <w:szCs w:val="20"/>
                <w:lang w:val="en-US"/>
              </w:rPr>
              <w:t>Utrošenasredstva</w:t>
            </w:r>
          </w:p>
        </w:tc>
        <w:tc>
          <w:tcPr>
            <w:tcW w:w="500" w:type="pct"/>
            <w:noWrap/>
            <w:hideMark/>
          </w:tcPr>
          <w:p w14:paraId="46BF643D" w14:textId="77777777" w:rsidR="00DC69AD" w:rsidRPr="0085443D" w:rsidRDefault="00DC69AD" w:rsidP="00DC69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8"/>
                <w:szCs w:val="20"/>
                <w:lang w:val="en-US"/>
              </w:rPr>
            </w:pPr>
            <w:r w:rsidRPr="0085443D">
              <w:rPr>
                <w:rFonts w:asciiTheme="minorHAnsi" w:eastAsia="Times New Roman" w:hAnsiTheme="minorHAnsi" w:cstheme="minorHAnsi"/>
                <w:b/>
                <w:bCs/>
                <w:sz w:val="18"/>
                <w:szCs w:val="20"/>
                <w:lang w:val="en-US"/>
              </w:rPr>
              <w:t>Broj korisnika</w:t>
            </w:r>
          </w:p>
        </w:tc>
        <w:tc>
          <w:tcPr>
            <w:tcW w:w="500" w:type="pct"/>
            <w:noWrap/>
            <w:hideMark/>
          </w:tcPr>
          <w:p w14:paraId="377548F0" w14:textId="77777777" w:rsidR="00DC69AD" w:rsidRPr="0085443D" w:rsidRDefault="00DC69AD" w:rsidP="00DC69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8"/>
                <w:szCs w:val="20"/>
                <w:lang w:val="en-US"/>
              </w:rPr>
            </w:pPr>
            <w:r w:rsidRPr="0085443D">
              <w:rPr>
                <w:rFonts w:asciiTheme="minorHAnsi" w:eastAsia="Times New Roman" w:hAnsiTheme="minorHAnsi" w:cstheme="minorHAnsi"/>
                <w:b/>
                <w:bCs/>
                <w:sz w:val="18"/>
                <w:szCs w:val="20"/>
                <w:lang w:val="en-US"/>
              </w:rPr>
              <w:t>Utrošenasredstva</w:t>
            </w:r>
          </w:p>
        </w:tc>
        <w:tc>
          <w:tcPr>
            <w:tcW w:w="500" w:type="pct"/>
            <w:noWrap/>
            <w:hideMark/>
          </w:tcPr>
          <w:p w14:paraId="297BE253" w14:textId="77777777" w:rsidR="00DC69AD" w:rsidRPr="0085443D" w:rsidRDefault="00DC69AD" w:rsidP="00DC69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8"/>
                <w:szCs w:val="20"/>
                <w:lang w:val="en-US"/>
              </w:rPr>
            </w:pPr>
            <w:r w:rsidRPr="0085443D">
              <w:rPr>
                <w:rFonts w:asciiTheme="minorHAnsi" w:eastAsia="Times New Roman" w:hAnsiTheme="minorHAnsi" w:cstheme="minorHAnsi"/>
                <w:b/>
                <w:bCs/>
                <w:sz w:val="18"/>
                <w:szCs w:val="20"/>
                <w:lang w:val="en-US"/>
              </w:rPr>
              <w:t>Broj korisnika</w:t>
            </w:r>
          </w:p>
        </w:tc>
        <w:tc>
          <w:tcPr>
            <w:tcW w:w="500" w:type="pct"/>
            <w:noWrap/>
            <w:hideMark/>
          </w:tcPr>
          <w:p w14:paraId="10A65A67" w14:textId="77777777" w:rsidR="00DC69AD" w:rsidRPr="0085443D" w:rsidRDefault="00DC69AD" w:rsidP="00DC69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8"/>
                <w:szCs w:val="20"/>
                <w:lang w:val="en-US"/>
              </w:rPr>
            </w:pPr>
            <w:r w:rsidRPr="0085443D">
              <w:rPr>
                <w:rFonts w:asciiTheme="minorHAnsi" w:eastAsia="Times New Roman" w:hAnsiTheme="minorHAnsi" w:cstheme="minorHAnsi"/>
                <w:b/>
                <w:bCs/>
                <w:sz w:val="18"/>
                <w:szCs w:val="20"/>
                <w:lang w:val="en-US"/>
              </w:rPr>
              <w:t>Utrošenasredstva</w:t>
            </w:r>
          </w:p>
        </w:tc>
      </w:tr>
      <w:tr w:rsidR="00DC69AD" w:rsidRPr="0085443D" w14:paraId="149361B3" w14:textId="77777777" w:rsidTr="00DC69AD">
        <w:trPr>
          <w:trHeight w:val="300"/>
        </w:trPr>
        <w:tc>
          <w:tcPr>
            <w:cnfStyle w:val="001000000000" w:firstRow="0" w:lastRow="0" w:firstColumn="1" w:lastColumn="0" w:oddVBand="0" w:evenVBand="0" w:oddHBand="0" w:evenHBand="0" w:firstRowFirstColumn="0" w:firstRowLastColumn="0" w:lastRowFirstColumn="0" w:lastRowLastColumn="0"/>
            <w:tcW w:w="500" w:type="pct"/>
            <w:noWrap/>
            <w:hideMark/>
          </w:tcPr>
          <w:p w14:paraId="2D98A34D" w14:textId="77777777" w:rsidR="00DC69AD" w:rsidRPr="0085443D" w:rsidRDefault="00DC69AD" w:rsidP="00DC69AD">
            <w:pPr>
              <w:jc w:val="right"/>
              <w:rPr>
                <w:rFonts w:asciiTheme="minorHAnsi" w:eastAsia="Times New Roman" w:hAnsiTheme="minorHAnsi" w:cstheme="minorHAnsi"/>
                <w:b w:val="0"/>
                <w:sz w:val="18"/>
                <w:szCs w:val="20"/>
                <w:lang w:val="en-US"/>
              </w:rPr>
            </w:pPr>
            <w:r w:rsidRPr="0085443D">
              <w:rPr>
                <w:rFonts w:asciiTheme="minorHAnsi" w:eastAsia="Times New Roman" w:hAnsiTheme="minorHAnsi" w:cstheme="minorHAnsi"/>
                <w:b w:val="0"/>
                <w:sz w:val="18"/>
                <w:szCs w:val="20"/>
                <w:lang w:val="en-US"/>
              </w:rPr>
              <w:t>4,358</w:t>
            </w:r>
          </w:p>
        </w:tc>
        <w:tc>
          <w:tcPr>
            <w:tcW w:w="500" w:type="pct"/>
            <w:noWrap/>
            <w:hideMark/>
          </w:tcPr>
          <w:p w14:paraId="53BD859B" w14:textId="77777777" w:rsidR="00DC69AD" w:rsidRPr="0085443D" w:rsidRDefault="00DC69AD" w:rsidP="00DC69AD">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20"/>
                <w:lang w:val="en-US"/>
              </w:rPr>
            </w:pPr>
            <w:r w:rsidRPr="0085443D">
              <w:rPr>
                <w:rFonts w:asciiTheme="minorHAnsi" w:eastAsia="Times New Roman" w:hAnsiTheme="minorHAnsi" w:cstheme="minorHAnsi"/>
                <w:sz w:val="18"/>
                <w:szCs w:val="20"/>
                <w:lang w:val="en-US"/>
              </w:rPr>
              <w:t>1,264,509.87</w:t>
            </w:r>
          </w:p>
        </w:tc>
        <w:tc>
          <w:tcPr>
            <w:tcW w:w="500" w:type="pct"/>
            <w:noWrap/>
            <w:hideMark/>
          </w:tcPr>
          <w:p w14:paraId="28BB73D6" w14:textId="77777777" w:rsidR="00DC69AD" w:rsidRPr="0085443D" w:rsidRDefault="00DC69AD" w:rsidP="00DC69AD">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20"/>
                <w:lang w:val="en-US"/>
              </w:rPr>
            </w:pPr>
            <w:r w:rsidRPr="0085443D">
              <w:rPr>
                <w:rFonts w:asciiTheme="minorHAnsi" w:eastAsia="Times New Roman" w:hAnsiTheme="minorHAnsi" w:cstheme="minorHAnsi"/>
                <w:sz w:val="18"/>
                <w:szCs w:val="20"/>
                <w:lang w:val="en-US"/>
              </w:rPr>
              <w:t>4,278</w:t>
            </w:r>
          </w:p>
        </w:tc>
        <w:tc>
          <w:tcPr>
            <w:tcW w:w="500" w:type="pct"/>
            <w:noWrap/>
            <w:hideMark/>
          </w:tcPr>
          <w:p w14:paraId="3A579B21" w14:textId="77777777" w:rsidR="00DC69AD" w:rsidRPr="0085443D" w:rsidRDefault="00DC69AD" w:rsidP="00DC69AD">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20"/>
                <w:lang w:val="en-US"/>
              </w:rPr>
            </w:pPr>
            <w:r w:rsidRPr="0085443D">
              <w:rPr>
                <w:rFonts w:asciiTheme="minorHAnsi" w:eastAsia="Times New Roman" w:hAnsiTheme="minorHAnsi" w:cstheme="minorHAnsi"/>
                <w:sz w:val="18"/>
                <w:szCs w:val="20"/>
                <w:lang w:val="en-US"/>
              </w:rPr>
              <w:t>1,791,842.75</w:t>
            </w:r>
          </w:p>
        </w:tc>
        <w:tc>
          <w:tcPr>
            <w:tcW w:w="500" w:type="pct"/>
            <w:noWrap/>
            <w:hideMark/>
          </w:tcPr>
          <w:p w14:paraId="4DE71847" w14:textId="77777777" w:rsidR="00DC69AD" w:rsidRPr="0085443D" w:rsidRDefault="00DC69AD" w:rsidP="00DC69AD">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20"/>
                <w:lang w:val="en-US"/>
              </w:rPr>
            </w:pPr>
            <w:r w:rsidRPr="0085443D">
              <w:rPr>
                <w:rFonts w:asciiTheme="minorHAnsi" w:eastAsia="Times New Roman" w:hAnsiTheme="minorHAnsi" w:cstheme="minorHAnsi"/>
                <w:sz w:val="18"/>
                <w:szCs w:val="20"/>
                <w:lang w:val="en-US"/>
              </w:rPr>
              <w:t>3,958</w:t>
            </w:r>
          </w:p>
        </w:tc>
        <w:tc>
          <w:tcPr>
            <w:tcW w:w="500" w:type="pct"/>
            <w:noWrap/>
            <w:hideMark/>
          </w:tcPr>
          <w:p w14:paraId="359B4D16" w14:textId="77777777" w:rsidR="00DC69AD" w:rsidRPr="0085443D" w:rsidRDefault="00DC69AD" w:rsidP="00DC69AD">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20"/>
                <w:lang w:val="en-US"/>
              </w:rPr>
            </w:pPr>
            <w:r w:rsidRPr="0085443D">
              <w:rPr>
                <w:rFonts w:asciiTheme="minorHAnsi" w:eastAsia="Times New Roman" w:hAnsiTheme="minorHAnsi" w:cstheme="minorHAnsi"/>
                <w:sz w:val="18"/>
                <w:szCs w:val="20"/>
                <w:lang w:val="en-US"/>
              </w:rPr>
              <w:t>1,915,607.24</w:t>
            </w:r>
          </w:p>
        </w:tc>
        <w:tc>
          <w:tcPr>
            <w:tcW w:w="500" w:type="pct"/>
            <w:noWrap/>
            <w:hideMark/>
          </w:tcPr>
          <w:p w14:paraId="21E9110C" w14:textId="77777777" w:rsidR="00DC69AD" w:rsidRPr="0085443D" w:rsidRDefault="00DC69AD" w:rsidP="00DC69AD">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20"/>
                <w:lang w:val="en-US"/>
              </w:rPr>
            </w:pPr>
            <w:r w:rsidRPr="0085443D">
              <w:rPr>
                <w:rFonts w:asciiTheme="minorHAnsi" w:eastAsia="Times New Roman" w:hAnsiTheme="minorHAnsi" w:cstheme="minorHAnsi"/>
                <w:sz w:val="18"/>
                <w:szCs w:val="20"/>
                <w:lang w:val="en-US"/>
              </w:rPr>
              <w:t>6,461</w:t>
            </w:r>
          </w:p>
        </w:tc>
        <w:tc>
          <w:tcPr>
            <w:tcW w:w="500" w:type="pct"/>
            <w:noWrap/>
            <w:hideMark/>
          </w:tcPr>
          <w:p w14:paraId="053FBADA" w14:textId="77777777" w:rsidR="00DC69AD" w:rsidRPr="0085443D" w:rsidRDefault="00DC69AD" w:rsidP="00DC69AD">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20"/>
                <w:lang w:val="en-US"/>
              </w:rPr>
            </w:pPr>
            <w:r w:rsidRPr="0085443D">
              <w:rPr>
                <w:rFonts w:asciiTheme="minorHAnsi" w:eastAsia="Times New Roman" w:hAnsiTheme="minorHAnsi" w:cstheme="minorHAnsi"/>
                <w:sz w:val="18"/>
                <w:szCs w:val="20"/>
                <w:lang w:val="en-US"/>
              </w:rPr>
              <w:t>2,050,353.41</w:t>
            </w:r>
          </w:p>
        </w:tc>
        <w:tc>
          <w:tcPr>
            <w:tcW w:w="500" w:type="pct"/>
            <w:noWrap/>
            <w:hideMark/>
          </w:tcPr>
          <w:p w14:paraId="78EFE73A" w14:textId="77777777" w:rsidR="00DC69AD" w:rsidRPr="0085443D" w:rsidRDefault="00DC69AD" w:rsidP="00DC69AD">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20"/>
                <w:lang w:val="en-US"/>
              </w:rPr>
            </w:pPr>
            <w:r w:rsidRPr="0085443D">
              <w:rPr>
                <w:rFonts w:asciiTheme="minorHAnsi" w:eastAsia="Times New Roman" w:hAnsiTheme="minorHAnsi" w:cstheme="minorHAnsi"/>
                <w:sz w:val="18"/>
                <w:szCs w:val="20"/>
                <w:lang w:val="en-US"/>
              </w:rPr>
              <w:t>6,201</w:t>
            </w:r>
          </w:p>
        </w:tc>
        <w:tc>
          <w:tcPr>
            <w:tcW w:w="500" w:type="pct"/>
            <w:noWrap/>
            <w:hideMark/>
          </w:tcPr>
          <w:p w14:paraId="26869874" w14:textId="77777777" w:rsidR="00DC69AD" w:rsidRPr="0085443D" w:rsidRDefault="00DC69AD" w:rsidP="00DC69AD">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20"/>
                <w:lang w:val="en-US"/>
              </w:rPr>
            </w:pPr>
            <w:r w:rsidRPr="0085443D">
              <w:rPr>
                <w:rFonts w:asciiTheme="minorHAnsi" w:eastAsia="Times New Roman" w:hAnsiTheme="minorHAnsi" w:cstheme="minorHAnsi"/>
                <w:sz w:val="18"/>
                <w:szCs w:val="20"/>
                <w:lang w:val="en-US"/>
              </w:rPr>
              <w:t>2,180,358.75</w:t>
            </w:r>
          </w:p>
        </w:tc>
      </w:tr>
    </w:tbl>
    <w:p w14:paraId="7517D568" w14:textId="46135FE8" w:rsidR="00DC69AD" w:rsidRPr="00442C4E" w:rsidRDefault="00240AE7" w:rsidP="00442C4E">
      <w:pPr>
        <w:jc w:val="both"/>
      </w:pPr>
      <w:r w:rsidRPr="00442C4E">
        <w:rPr>
          <w:highlight w:val="cyan"/>
        </w:rPr>
        <w:t>Mo</w:t>
      </w:r>
      <w:r w:rsidR="00B73CEC" w:rsidRPr="00442C4E">
        <w:rPr>
          <w:highlight w:val="cyan"/>
        </w:rPr>
        <w:t>že se uočiti značajno povećanje broja korisnika u 2015. godini, dok je u 2016. broj smanjen</w:t>
      </w:r>
      <w:r w:rsidR="00442C4E" w:rsidRPr="00442C4E">
        <w:rPr>
          <w:highlight w:val="cyan"/>
        </w:rPr>
        <w:t>, ali je još iznad broja korisnika u periodu prije 2014. godine, pa je veća i potreba za izdvajanjem sredstava za socijalnu zaštitu.</w:t>
      </w:r>
      <w:r w:rsidR="00442C4E">
        <w:t xml:space="preserve"> </w:t>
      </w:r>
    </w:p>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951"/>
        <w:gridCol w:w="953"/>
        <w:gridCol w:w="954"/>
        <w:gridCol w:w="954"/>
        <w:gridCol w:w="952"/>
      </w:tblGrid>
      <w:tr w:rsidR="00BE0D32" w:rsidRPr="0085443D" w14:paraId="7E07238E" w14:textId="77777777" w:rsidTr="00DC69AD">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452" w:type="pct"/>
            <w:tcBorders>
              <w:top w:val="none" w:sz="0" w:space="0" w:color="auto"/>
              <w:left w:val="none" w:sz="0" w:space="0" w:color="auto"/>
              <w:right w:val="none" w:sz="0" w:space="0" w:color="auto"/>
            </w:tcBorders>
            <w:noWrap/>
            <w:hideMark/>
          </w:tcPr>
          <w:p w14:paraId="2E62FEA1" w14:textId="77777777" w:rsidR="00C36E1F" w:rsidRPr="0085443D" w:rsidRDefault="00C36E1F" w:rsidP="00BE0D32">
            <w:pPr>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О</w:t>
            </w:r>
            <w:r w:rsidR="00BE0D32" w:rsidRPr="0085443D">
              <w:rPr>
                <w:rFonts w:asciiTheme="minorHAnsi" w:eastAsia="Times New Roman" w:hAnsiTheme="minorHAnsi" w:cstheme="minorHAnsi"/>
                <w:color w:val="000000"/>
                <w:lang w:val="en-US"/>
              </w:rPr>
              <w:t>SJ</w:t>
            </w:r>
            <w:r w:rsidRPr="0085443D">
              <w:rPr>
                <w:rFonts w:asciiTheme="minorHAnsi" w:eastAsia="Times New Roman" w:hAnsiTheme="minorHAnsi" w:cstheme="minorHAnsi"/>
                <w:color w:val="000000"/>
                <w:lang w:val="en-US"/>
              </w:rPr>
              <w:t>ЕТ</w:t>
            </w:r>
            <w:r w:rsidR="00BE0D32" w:rsidRPr="0085443D">
              <w:rPr>
                <w:rFonts w:asciiTheme="minorHAnsi" w:eastAsia="Times New Roman" w:hAnsiTheme="minorHAnsi" w:cstheme="minorHAnsi"/>
                <w:color w:val="000000"/>
                <w:lang w:val="en-US"/>
              </w:rPr>
              <w:t>LjIVE</w:t>
            </w:r>
            <w:r w:rsidRPr="0085443D">
              <w:rPr>
                <w:rFonts w:asciiTheme="minorHAnsi" w:eastAsia="Times New Roman" w:hAnsiTheme="minorHAnsi" w:cstheme="minorHAnsi"/>
                <w:color w:val="000000"/>
                <w:lang w:val="en-US"/>
              </w:rPr>
              <w:t xml:space="preserve"> </w:t>
            </w:r>
            <w:r w:rsidR="00BE0D32" w:rsidRPr="0085443D">
              <w:rPr>
                <w:rFonts w:asciiTheme="minorHAnsi" w:eastAsia="Times New Roman" w:hAnsiTheme="minorHAnsi" w:cstheme="minorHAnsi"/>
                <w:color w:val="000000"/>
                <w:lang w:val="en-US"/>
              </w:rPr>
              <w:t>KATEGORIJE</w:t>
            </w:r>
            <w:r w:rsidRPr="0085443D">
              <w:rPr>
                <w:rFonts w:asciiTheme="minorHAnsi" w:eastAsia="Times New Roman" w:hAnsiTheme="minorHAnsi" w:cstheme="minorHAnsi"/>
                <w:color w:val="000000"/>
                <w:lang w:val="en-US"/>
              </w:rPr>
              <w:t xml:space="preserve"> </w:t>
            </w:r>
          </w:p>
        </w:tc>
        <w:tc>
          <w:tcPr>
            <w:tcW w:w="509" w:type="pct"/>
            <w:tcBorders>
              <w:top w:val="none" w:sz="0" w:space="0" w:color="auto"/>
              <w:left w:val="none" w:sz="0" w:space="0" w:color="auto"/>
              <w:right w:val="none" w:sz="0" w:space="0" w:color="auto"/>
            </w:tcBorders>
            <w:noWrap/>
            <w:hideMark/>
          </w:tcPr>
          <w:p w14:paraId="26CF261B" w14:textId="77777777" w:rsidR="00C36E1F" w:rsidRPr="0085443D" w:rsidRDefault="00C36E1F" w:rsidP="00C36E1F">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2012</w:t>
            </w:r>
          </w:p>
        </w:tc>
        <w:tc>
          <w:tcPr>
            <w:tcW w:w="510" w:type="pct"/>
            <w:tcBorders>
              <w:top w:val="none" w:sz="0" w:space="0" w:color="auto"/>
              <w:left w:val="none" w:sz="0" w:space="0" w:color="auto"/>
              <w:right w:val="none" w:sz="0" w:space="0" w:color="auto"/>
            </w:tcBorders>
            <w:noWrap/>
            <w:hideMark/>
          </w:tcPr>
          <w:p w14:paraId="73F59573" w14:textId="77777777" w:rsidR="00C36E1F" w:rsidRPr="0085443D" w:rsidRDefault="00C36E1F" w:rsidP="00C36E1F">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2013</w:t>
            </w:r>
          </w:p>
        </w:tc>
        <w:tc>
          <w:tcPr>
            <w:tcW w:w="510" w:type="pct"/>
            <w:tcBorders>
              <w:top w:val="none" w:sz="0" w:space="0" w:color="auto"/>
              <w:left w:val="none" w:sz="0" w:space="0" w:color="auto"/>
              <w:right w:val="none" w:sz="0" w:space="0" w:color="auto"/>
            </w:tcBorders>
            <w:noWrap/>
            <w:hideMark/>
          </w:tcPr>
          <w:p w14:paraId="2F734D19" w14:textId="77777777" w:rsidR="00C36E1F" w:rsidRPr="0085443D" w:rsidRDefault="00C36E1F" w:rsidP="00C36E1F">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2014</w:t>
            </w:r>
          </w:p>
        </w:tc>
        <w:tc>
          <w:tcPr>
            <w:tcW w:w="510" w:type="pct"/>
            <w:tcBorders>
              <w:top w:val="none" w:sz="0" w:space="0" w:color="auto"/>
              <w:left w:val="none" w:sz="0" w:space="0" w:color="auto"/>
              <w:right w:val="none" w:sz="0" w:space="0" w:color="auto"/>
            </w:tcBorders>
            <w:noWrap/>
            <w:hideMark/>
          </w:tcPr>
          <w:p w14:paraId="75617658" w14:textId="77777777" w:rsidR="00C36E1F" w:rsidRPr="0085443D" w:rsidRDefault="00C36E1F" w:rsidP="00C36E1F">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2015</w:t>
            </w:r>
          </w:p>
        </w:tc>
        <w:tc>
          <w:tcPr>
            <w:tcW w:w="509" w:type="pct"/>
            <w:tcBorders>
              <w:top w:val="none" w:sz="0" w:space="0" w:color="auto"/>
              <w:left w:val="none" w:sz="0" w:space="0" w:color="auto"/>
              <w:right w:val="none" w:sz="0" w:space="0" w:color="auto"/>
            </w:tcBorders>
            <w:noWrap/>
            <w:hideMark/>
          </w:tcPr>
          <w:p w14:paraId="37060C00" w14:textId="77777777" w:rsidR="00C36E1F" w:rsidRPr="0085443D" w:rsidRDefault="00C36E1F" w:rsidP="00C36E1F">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2016</w:t>
            </w:r>
          </w:p>
        </w:tc>
      </w:tr>
      <w:tr w:rsidR="00BE0D32" w:rsidRPr="0085443D" w14:paraId="51217CFD" w14:textId="77777777" w:rsidTr="00DC69A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452" w:type="pct"/>
            <w:tcBorders>
              <w:left w:val="none" w:sz="0" w:space="0" w:color="auto"/>
            </w:tcBorders>
            <w:noWrap/>
            <w:hideMark/>
          </w:tcPr>
          <w:p w14:paraId="72EBEA54" w14:textId="77777777" w:rsidR="00C36E1F" w:rsidRPr="0085443D" w:rsidRDefault="00BE0D32" w:rsidP="00C36E1F">
            <w:pPr>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Djeca bez roditeljskog staranja</w:t>
            </w:r>
          </w:p>
        </w:tc>
        <w:tc>
          <w:tcPr>
            <w:tcW w:w="509" w:type="pct"/>
            <w:noWrap/>
            <w:hideMark/>
          </w:tcPr>
          <w:p w14:paraId="5F89A082"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17</w:t>
            </w:r>
          </w:p>
        </w:tc>
        <w:tc>
          <w:tcPr>
            <w:tcW w:w="510" w:type="pct"/>
            <w:noWrap/>
            <w:hideMark/>
          </w:tcPr>
          <w:p w14:paraId="3DDF8F24"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15</w:t>
            </w:r>
          </w:p>
        </w:tc>
        <w:tc>
          <w:tcPr>
            <w:tcW w:w="510" w:type="pct"/>
            <w:noWrap/>
            <w:hideMark/>
          </w:tcPr>
          <w:p w14:paraId="448331D8"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15</w:t>
            </w:r>
          </w:p>
        </w:tc>
        <w:tc>
          <w:tcPr>
            <w:tcW w:w="510" w:type="pct"/>
            <w:noWrap/>
            <w:hideMark/>
          </w:tcPr>
          <w:p w14:paraId="781BF62B"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15</w:t>
            </w:r>
          </w:p>
        </w:tc>
        <w:tc>
          <w:tcPr>
            <w:tcW w:w="509" w:type="pct"/>
            <w:noWrap/>
            <w:hideMark/>
          </w:tcPr>
          <w:p w14:paraId="63BFD37E"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15</w:t>
            </w:r>
          </w:p>
        </w:tc>
      </w:tr>
      <w:tr w:rsidR="00BE0D32" w:rsidRPr="0085443D" w14:paraId="78297C4A" w14:textId="77777777" w:rsidTr="00DC69AD">
        <w:trPr>
          <w:trHeight w:val="57"/>
        </w:trPr>
        <w:tc>
          <w:tcPr>
            <w:cnfStyle w:val="001000000000" w:firstRow="0" w:lastRow="0" w:firstColumn="1" w:lastColumn="0" w:oddVBand="0" w:evenVBand="0" w:oddHBand="0" w:evenHBand="0" w:firstRowFirstColumn="0" w:firstRowLastColumn="0" w:lastRowFirstColumn="0" w:lastRowLastColumn="0"/>
            <w:tcW w:w="2452" w:type="pct"/>
            <w:tcBorders>
              <w:left w:val="none" w:sz="0" w:space="0" w:color="auto"/>
            </w:tcBorders>
            <w:noWrap/>
            <w:hideMark/>
          </w:tcPr>
          <w:p w14:paraId="0CC4C530" w14:textId="77777777" w:rsidR="00C36E1F" w:rsidRPr="0085443D" w:rsidRDefault="00BE0D32" w:rsidP="00C36E1F">
            <w:pPr>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 xml:space="preserve">Lica pod starateljstvom </w:t>
            </w:r>
          </w:p>
        </w:tc>
        <w:tc>
          <w:tcPr>
            <w:tcW w:w="509" w:type="pct"/>
            <w:noWrap/>
            <w:hideMark/>
          </w:tcPr>
          <w:p w14:paraId="73CD7CA7"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78</w:t>
            </w:r>
          </w:p>
        </w:tc>
        <w:tc>
          <w:tcPr>
            <w:tcW w:w="510" w:type="pct"/>
            <w:noWrap/>
            <w:hideMark/>
          </w:tcPr>
          <w:p w14:paraId="2D34180B"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82</w:t>
            </w:r>
          </w:p>
        </w:tc>
        <w:tc>
          <w:tcPr>
            <w:tcW w:w="510" w:type="pct"/>
            <w:noWrap/>
            <w:hideMark/>
          </w:tcPr>
          <w:p w14:paraId="428B1DC3"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82</w:t>
            </w:r>
          </w:p>
        </w:tc>
        <w:tc>
          <w:tcPr>
            <w:tcW w:w="510" w:type="pct"/>
            <w:noWrap/>
            <w:hideMark/>
          </w:tcPr>
          <w:p w14:paraId="6E018B6B"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82</w:t>
            </w:r>
          </w:p>
        </w:tc>
        <w:tc>
          <w:tcPr>
            <w:tcW w:w="509" w:type="pct"/>
            <w:noWrap/>
            <w:hideMark/>
          </w:tcPr>
          <w:p w14:paraId="4C4E6FF2"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86</w:t>
            </w:r>
          </w:p>
        </w:tc>
      </w:tr>
      <w:tr w:rsidR="00BE0D32" w:rsidRPr="0085443D" w14:paraId="20B9FD84" w14:textId="77777777" w:rsidTr="00DC69A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452" w:type="pct"/>
            <w:tcBorders>
              <w:left w:val="none" w:sz="0" w:space="0" w:color="auto"/>
            </w:tcBorders>
            <w:noWrap/>
            <w:hideMark/>
          </w:tcPr>
          <w:p w14:paraId="6A9219DE" w14:textId="77777777" w:rsidR="00C36E1F" w:rsidRPr="0085443D" w:rsidRDefault="00BE0D32" w:rsidP="00C36E1F">
            <w:pPr>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Djeca čiji je razvoj ometen porodičnim prilikama</w:t>
            </w:r>
          </w:p>
        </w:tc>
        <w:tc>
          <w:tcPr>
            <w:tcW w:w="509" w:type="pct"/>
            <w:noWrap/>
            <w:hideMark/>
          </w:tcPr>
          <w:p w14:paraId="01F74493"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118</w:t>
            </w:r>
          </w:p>
        </w:tc>
        <w:tc>
          <w:tcPr>
            <w:tcW w:w="510" w:type="pct"/>
            <w:noWrap/>
            <w:hideMark/>
          </w:tcPr>
          <w:p w14:paraId="060E7699"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124</w:t>
            </w:r>
          </w:p>
        </w:tc>
        <w:tc>
          <w:tcPr>
            <w:tcW w:w="510" w:type="pct"/>
            <w:noWrap/>
            <w:hideMark/>
          </w:tcPr>
          <w:p w14:paraId="73E89217"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121</w:t>
            </w:r>
          </w:p>
        </w:tc>
        <w:tc>
          <w:tcPr>
            <w:tcW w:w="510" w:type="pct"/>
            <w:noWrap/>
            <w:hideMark/>
          </w:tcPr>
          <w:p w14:paraId="3C396A44"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152</w:t>
            </w:r>
          </w:p>
        </w:tc>
        <w:tc>
          <w:tcPr>
            <w:tcW w:w="509" w:type="pct"/>
            <w:noWrap/>
            <w:hideMark/>
          </w:tcPr>
          <w:p w14:paraId="01AE8F3E"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174</w:t>
            </w:r>
          </w:p>
        </w:tc>
      </w:tr>
      <w:tr w:rsidR="00BE0D32" w:rsidRPr="0085443D" w14:paraId="346BFCD8" w14:textId="77777777" w:rsidTr="00DC69AD">
        <w:trPr>
          <w:trHeight w:val="57"/>
        </w:trPr>
        <w:tc>
          <w:tcPr>
            <w:cnfStyle w:val="001000000000" w:firstRow="0" w:lastRow="0" w:firstColumn="1" w:lastColumn="0" w:oddVBand="0" w:evenVBand="0" w:oddHBand="0" w:evenHBand="0" w:firstRowFirstColumn="0" w:firstRowLastColumn="0" w:lastRowFirstColumn="0" w:lastRowLastColumn="0"/>
            <w:tcW w:w="2452" w:type="pct"/>
            <w:tcBorders>
              <w:left w:val="none" w:sz="0" w:space="0" w:color="auto"/>
            </w:tcBorders>
            <w:noWrap/>
            <w:hideMark/>
          </w:tcPr>
          <w:p w14:paraId="1A3F6914" w14:textId="77777777" w:rsidR="00C36E1F" w:rsidRPr="0085443D" w:rsidRDefault="00BE0D32" w:rsidP="00BE0D32">
            <w:pPr>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 xml:space="preserve">Djeca sa smetnjama u razvoju </w:t>
            </w:r>
          </w:p>
        </w:tc>
        <w:tc>
          <w:tcPr>
            <w:tcW w:w="509" w:type="pct"/>
            <w:noWrap/>
            <w:hideMark/>
          </w:tcPr>
          <w:p w14:paraId="0DAEF09F"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98</w:t>
            </w:r>
          </w:p>
        </w:tc>
        <w:tc>
          <w:tcPr>
            <w:tcW w:w="510" w:type="pct"/>
            <w:noWrap/>
            <w:hideMark/>
          </w:tcPr>
          <w:p w14:paraId="0B51BAC3"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117</w:t>
            </w:r>
          </w:p>
        </w:tc>
        <w:tc>
          <w:tcPr>
            <w:tcW w:w="510" w:type="pct"/>
            <w:noWrap/>
            <w:hideMark/>
          </w:tcPr>
          <w:p w14:paraId="59768AC1"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121</w:t>
            </w:r>
          </w:p>
        </w:tc>
        <w:tc>
          <w:tcPr>
            <w:tcW w:w="510" w:type="pct"/>
            <w:noWrap/>
            <w:hideMark/>
          </w:tcPr>
          <w:p w14:paraId="33B5E5A1"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122</w:t>
            </w:r>
          </w:p>
        </w:tc>
        <w:tc>
          <w:tcPr>
            <w:tcW w:w="509" w:type="pct"/>
            <w:noWrap/>
            <w:hideMark/>
          </w:tcPr>
          <w:p w14:paraId="64373152"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141</w:t>
            </w:r>
          </w:p>
        </w:tc>
      </w:tr>
      <w:tr w:rsidR="00BE0D32" w:rsidRPr="0085443D" w14:paraId="5A87B414" w14:textId="77777777" w:rsidTr="00DC69A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452" w:type="pct"/>
            <w:tcBorders>
              <w:left w:val="none" w:sz="0" w:space="0" w:color="auto"/>
            </w:tcBorders>
            <w:noWrap/>
            <w:hideMark/>
          </w:tcPr>
          <w:p w14:paraId="2DCFAD15" w14:textId="77777777" w:rsidR="00C36E1F" w:rsidRPr="0085443D" w:rsidRDefault="00BE0D32" w:rsidP="00C36E1F">
            <w:pPr>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Invalidna lica</w:t>
            </w:r>
          </w:p>
        </w:tc>
        <w:tc>
          <w:tcPr>
            <w:tcW w:w="509" w:type="pct"/>
            <w:noWrap/>
            <w:hideMark/>
          </w:tcPr>
          <w:p w14:paraId="132FC477"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511</w:t>
            </w:r>
          </w:p>
        </w:tc>
        <w:tc>
          <w:tcPr>
            <w:tcW w:w="510" w:type="pct"/>
            <w:noWrap/>
            <w:hideMark/>
          </w:tcPr>
          <w:p w14:paraId="2A90C7CC"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510</w:t>
            </w:r>
          </w:p>
        </w:tc>
        <w:tc>
          <w:tcPr>
            <w:tcW w:w="510" w:type="pct"/>
            <w:noWrap/>
            <w:hideMark/>
          </w:tcPr>
          <w:p w14:paraId="0F4DAA4A"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699</w:t>
            </w:r>
          </w:p>
        </w:tc>
        <w:tc>
          <w:tcPr>
            <w:tcW w:w="510" w:type="pct"/>
            <w:noWrap/>
            <w:hideMark/>
          </w:tcPr>
          <w:p w14:paraId="318A8FCE"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818</w:t>
            </w:r>
          </w:p>
        </w:tc>
        <w:tc>
          <w:tcPr>
            <w:tcW w:w="509" w:type="pct"/>
            <w:noWrap/>
            <w:hideMark/>
          </w:tcPr>
          <w:p w14:paraId="2BBBB125"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958</w:t>
            </w:r>
          </w:p>
        </w:tc>
      </w:tr>
      <w:tr w:rsidR="00BE0D32" w:rsidRPr="0085443D" w14:paraId="5C93FB35" w14:textId="77777777" w:rsidTr="00DC69AD">
        <w:trPr>
          <w:trHeight w:val="57"/>
        </w:trPr>
        <w:tc>
          <w:tcPr>
            <w:cnfStyle w:val="001000000000" w:firstRow="0" w:lastRow="0" w:firstColumn="1" w:lastColumn="0" w:oddVBand="0" w:evenVBand="0" w:oddHBand="0" w:evenHBand="0" w:firstRowFirstColumn="0" w:firstRowLastColumn="0" w:lastRowFirstColumn="0" w:lastRowLastColumn="0"/>
            <w:tcW w:w="2452" w:type="pct"/>
            <w:tcBorders>
              <w:left w:val="none" w:sz="0" w:space="0" w:color="auto"/>
            </w:tcBorders>
            <w:noWrap/>
            <w:hideMark/>
          </w:tcPr>
          <w:p w14:paraId="231442BA" w14:textId="77777777" w:rsidR="00C36E1F" w:rsidRPr="0085443D" w:rsidRDefault="00BE0D32" w:rsidP="00C36E1F">
            <w:pPr>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lastRenderedPageBreak/>
              <w:t xml:space="preserve">Korisnici materinskog dodatka </w:t>
            </w:r>
          </w:p>
        </w:tc>
        <w:tc>
          <w:tcPr>
            <w:tcW w:w="509" w:type="pct"/>
            <w:noWrap/>
            <w:hideMark/>
          </w:tcPr>
          <w:p w14:paraId="5B509CC8"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84</w:t>
            </w:r>
          </w:p>
        </w:tc>
        <w:tc>
          <w:tcPr>
            <w:tcW w:w="510" w:type="pct"/>
            <w:noWrap/>
            <w:hideMark/>
          </w:tcPr>
          <w:p w14:paraId="3E9B7BE0"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78</w:t>
            </w:r>
          </w:p>
        </w:tc>
        <w:tc>
          <w:tcPr>
            <w:tcW w:w="510" w:type="pct"/>
            <w:noWrap/>
            <w:hideMark/>
          </w:tcPr>
          <w:p w14:paraId="6DEC0455"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117</w:t>
            </w:r>
          </w:p>
        </w:tc>
        <w:tc>
          <w:tcPr>
            <w:tcW w:w="510" w:type="pct"/>
            <w:noWrap/>
            <w:hideMark/>
          </w:tcPr>
          <w:p w14:paraId="126F276B"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114</w:t>
            </w:r>
          </w:p>
        </w:tc>
        <w:tc>
          <w:tcPr>
            <w:tcW w:w="509" w:type="pct"/>
            <w:noWrap/>
            <w:hideMark/>
          </w:tcPr>
          <w:p w14:paraId="4D47F522"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94</w:t>
            </w:r>
          </w:p>
        </w:tc>
      </w:tr>
      <w:tr w:rsidR="00BE0D32" w:rsidRPr="0085443D" w14:paraId="6B2C8632" w14:textId="77777777" w:rsidTr="00DC69A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452" w:type="pct"/>
            <w:tcBorders>
              <w:left w:val="none" w:sz="0" w:space="0" w:color="auto"/>
            </w:tcBorders>
            <w:noWrap/>
            <w:hideMark/>
          </w:tcPr>
          <w:p w14:paraId="341902A3" w14:textId="77777777" w:rsidR="00C36E1F" w:rsidRPr="0085443D" w:rsidRDefault="00BE0D32" w:rsidP="00C36E1F">
            <w:pPr>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Stara lica bez porodičnog staranja</w:t>
            </w:r>
          </w:p>
        </w:tc>
        <w:tc>
          <w:tcPr>
            <w:tcW w:w="509" w:type="pct"/>
            <w:noWrap/>
            <w:hideMark/>
          </w:tcPr>
          <w:p w14:paraId="3E86EDA6"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111</w:t>
            </w:r>
          </w:p>
        </w:tc>
        <w:tc>
          <w:tcPr>
            <w:tcW w:w="510" w:type="pct"/>
            <w:noWrap/>
            <w:hideMark/>
          </w:tcPr>
          <w:p w14:paraId="5957C941"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104</w:t>
            </w:r>
          </w:p>
        </w:tc>
        <w:tc>
          <w:tcPr>
            <w:tcW w:w="510" w:type="pct"/>
            <w:noWrap/>
            <w:hideMark/>
          </w:tcPr>
          <w:p w14:paraId="17D09530"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111</w:t>
            </w:r>
          </w:p>
        </w:tc>
        <w:tc>
          <w:tcPr>
            <w:tcW w:w="510" w:type="pct"/>
            <w:noWrap/>
            <w:hideMark/>
          </w:tcPr>
          <w:p w14:paraId="37F80C5C"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112</w:t>
            </w:r>
          </w:p>
        </w:tc>
        <w:tc>
          <w:tcPr>
            <w:tcW w:w="509" w:type="pct"/>
            <w:noWrap/>
            <w:hideMark/>
          </w:tcPr>
          <w:p w14:paraId="41FEE88F"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98</w:t>
            </w:r>
          </w:p>
        </w:tc>
      </w:tr>
      <w:tr w:rsidR="00BE0D32" w:rsidRPr="0085443D" w14:paraId="3385FF0A" w14:textId="77777777" w:rsidTr="00DC69AD">
        <w:trPr>
          <w:trHeight w:val="57"/>
        </w:trPr>
        <w:tc>
          <w:tcPr>
            <w:cnfStyle w:val="001000000000" w:firstRow="0" w:lastRow="0" w:firstColumn="1" w:lastColumn="0" w:oddVBand="0" w:evenVBand="0" w:oddHBand="0" w:evenHBand="0" w:firstRowFirstColumn="0" w:firstRowLastColumn="0" w:lastRowFirstColumn="0" w:lastRowLastColumn="0"/>
            <w:tcW w:w="2452" w:type="pct"/>
            <w:tcBorders>
              <w:left w:val="none" w:sz="0" w:space="0" w:color="auto"/>
            </w:tcBorders>
            <w:noWrap/>
            <w:hideMark/>
          </w:tcPr>
          <w:p w14:paraId="26251A9C" w14:textId="77777777" w:rsidR="00C36E1F" w:rsidRPr="0085443D" w:rsidRDefault="00BE0D32" w:rsidP="00C36E1F">
            <w:pPr>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 xml:space="preserve">Maloljetnici čije je ponašanje u sukobu sa zakonom </w:t>
            </w:r>
          </w:p>
        </w:tc>
        <w:tc>
          <w:tcPr>
            <w:tcW w:w="509" w:type="pct"/>
            <w:noWrap/>
            <w:hideMark/>
          </w:tcPr>
          <w:p w14:paraId="787AA29E"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93</w:t>
            </w:r>
          </w:p>
        </w:tc>
        <w:tc>
          <w:tcPr>
            <w:tcW w:w="510" w:type="pct"/>
            <w:noWrap/>
            <w:hideMark/>
          </w:tcPr>
          <w:p w14:paraId="13BD8056"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73</w:t>
            </w:r>
          </w:p>
        </w:tc>
        <w:tc>
          <w:tcPr>
            <w:tcW w:w="510" w:type="pct"/>
            <w:noWrap/>
            <w:hideMark/>
          </w:tcPr>
          <w:p w14:paraId="67F11D4F"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56</w:t>
            </w:r>
          </w:p>
        </w:tc>
        <w:tc>
          <w:tcPr>
            <w:tcW w:w="510" w:type="pct"/>
            <w:noWrap/>
            <w:hideMark/>
          </w:tcPr>
          <w:p w14:paraId="27FE5723"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62</w:t>
            </w:r>
          </w:p>
        </w:tc>
        <w:tc>
          <w:tcPr>
            <w:tcW w:w="509" w:type="pct"/>
            <w:noWrap/>
            <w:hideMark/>
          </w:tcPr>
          <w:p w14:paraId="6361A1B8"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45</w:t>
            </w:r>
          </w:p>
        </w:tc>
      </w:tr>
      <w:tr w:rsidR="00BE0D32" w:rsidRPr="0085443D" w14:paraId="55FCDCD8" w14:textId="77777777" w:rsidTr="00DC69A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452" w:type="pct"/>
            <w:tcBorders>
              <w:left w:val="none" w:sz="0" w:space="0" w:color="auto"/>
            </w:tcBorders>
            <w:noWrap/>
            <w:hideMark/>
          </w:tcPr>
          <w:p w14:paraId="3695EB64" w14:textId="77777777" w:rsidR="00C36E1F" w:rsidRPr="0085443D" w:rsidRDefault="00BE0D32" w:rsidP="00C36E1F">
            <w:pPr>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 xml:space="preserve">Korisnici dodatka na djecu </w:t>
            </w:r>
          </w:p>
        </w:tc>
        <w:tc>
          <w:tcPr>
            <w:tcW w:w="509" w:type="pct"/>
            <w:noWrap/>
            <w:hideMark/>
          </w:tcPr>
          <w:p w14:paraId="30741D1E"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664</w:t>
            </w:r>
          </w:p>
        </w:tc>
        <w:tc>
          <w:tcPr>
            <w:tcW w:w="510" w:type="pct"/>
            <w:noWrap/>
            <w:hideMark/>
          </w:tcPr>
          <w:p w14:paraId="718DCDCE"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637</w:t>
            </w:r>
          </w:p>
        </w:tc>
        <w:tc>
          <w:tcPr>
            <w:tcW w:w="510" w:type="pct"/>
            <w:noWrap/>
            <w:hideMark/>
          </w:tcPr>
          <w:p w14:paraId="681D43BB"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745</w:t>
            </w:r>
          </w:p>
        </w:tc>
        <w:tc>
          <w:tcPr>
            <w:tcW w:w="510" w:type="pct"/>
            <w:noWrap/>
            <w:hideMark/>
          </w:tcPr>
          <w:p w14:paraId="45BC4C5A"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730</w:t>
            </w:r>
          </w:p>
        </w:tc>
        <w:tc>
          <w:tcPr>
            <w:tcW w:w="509" w:type="pct"/>
            <w:noWrap/>
            <w:hideMark/>
          </w:tcPr>
          <w:p w14:paraId="63C9F65B"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664</w:t>
            </w:r>
          </w:p>
        </w:tc>
      </w:tr>
      <w:tr w:rsidR="00BE0D32" w:rsidRPr="0085443D" w14:paraId="57D2AC46" w14:textId="77777777" w:rsidTr="00DC69AD">
        <w:trPr>
          <w:trHeight w:val="57"/>
        </w:trPr>
        <w:tc>
          <w:tcPr>
            <w:cnfStyle w:val="001000000000" w:firstRow="0" w:lastRow="0" w:firstColumn="1" w:lastColumn="0" w:oddVBand="0" w:evenVBand="0" w:oddHBand="0" w:evenHBand="0" w:firstRowFirstColumn="0" w:firstRowLastColumn="0" w:lastRowFirstColumn="0" w:lastRowLastColumn="0"/>
            <w:tcW w:w="2452" w:type="pct"/>
            <w:tcBorders>
              <w:left w:val="none" w:sz="0" w:space="0" w:color="auto"/>
            </w:tcBorders>
            <w:noWrap/>
            <w:hideMark/>
          </w:tcPr>
          <w:p w14:paraId="60B137DD" w14:textId="77777777" w:rsidR="00C36E1F" w:rsidRPr="0085443D" w:rsidRDefault="00BE0D32" w:rsidP="00C36E1F">
            <w:pPr>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 xml:space="preserve">Materijalno neobezbijeđena i za rad nesposobna lica </w:t>
            </w:r>
          </w:p>
        </w:tc>
        <w:tc>
          <w:tcPr>
            <w:tcW w:w="509" w:type="pct"/>
            <w:noWrap/>
            <w:hideMark/>
          </w:tcPr>
          <w:p w14:paraId="09B8FA9F"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218</w:t>
            </w:r>
          </w:p>
        </w:tc>
        <w:tc>
          <w:tcPr>
            <w:tcW w:w="510" w:type="pct"/>
            <w:noWrap/>
            <w:hideMark/>
          </w:tcPr>
          <w:p w14:paraId="1873575E"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211</w:t>
            </w:r>
          </w:p>
        </w:tc>
        <w:tc>
          <w:tcPr>
            <w:tcW w:w="510" w:type="pct"/>
            <w:noWrap/>
            <w:hideMark/>
          </w:tcPr>
          <w:p w14:paraId="1BEB6E11"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195</w:t>
            </w:r>
          </w:p>
        </w:tc>
        <w:tc>
          <w:tcPr>
            <w:tcW w:w="510" w:type="pct"/>
            <w:noWrap/>
            <w:hideMark/>
          </w:tcPr>
          <w:p w14:paraId="31EA4F81"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176</w:t>
            </w:r>
          </w:p>
        </w:tc>
        <w:tc>
          <w:tcPr>
            <w:tcW w:w="509" w:type="pct"/>
            <w:noWrap/>
            <w:hideMark/>
          </w:tcPr>
          <w:p w14:paraId="04F8CCBA"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165</w:t>
            </w:r>
          </w:p>
        </w:tc>
      </w:tr>
      <w:tr w:rsidR="00BE0D32" w:rsidRPr="0085443D" w14:paraId="2E6BB79C" w14:textId="77777777" w:rsidTr="00DC69A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452" w:type="pct"/>
            <w:tcBorders>
              <w:left w:val="none" w:sz="0" w:space="0" w:color="auto"/>
            </w:tcBorders>
            <w:noWrap/>
            <w:hideMark/>
          </w:tcPr>
          <w:p w14:paraId="4827D5D1" w14:textId="77777777" w:rsidR="00C36E1F" w:rsidRPr="0085443D" w:rsidRDefault="00BE0D32" w:rsidP="00C36E1F">
            <w:pPr>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Žrtve nasilja</w:t>
            </w:r>
          </w:p>
        </w:tc>
        <w:tc>
          <w:tcPr>
            <w:tcW w:w="509" w:type="pct"/>
            <w:noWrap/>
            <w:hideMark/>
          </w:tcPr>
          <w:p w14:paraId="3B428B57"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35</w:t>
            </w:r>
          </w:p>
        </w:tc>
        <w:tc>
          <w:tcPr>
            <w:tcW w:w="510" w:type="pct"/>
            <w:noWrap/>
            <w:hideMark/>
          </w:tcPr>
          <w:p w14:paraId="02E86F56"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49</w:t>
            </w:r>
          </w:p>
        </w:tc>
        <w:tc>
          <w:tcPr>
            <w:tcW w:w="510" w:type="pct"/>
            <w:noWrap/>
            <w:hideMark/>
          </w:tcPr>
          <w:p w14:paraId="2A03EAD8"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58</w:t>
            </w:r>
          </w:p>
        </w:tc>
        <w:tc>
          <w:tcPr>
            <w:tcW w:w="510" w:type="pct"/>
            <w:noWrap/>
            <w:hideMark/>
          </w:tcPr>
          <w:p w14:paraId="73552793"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40</w:t>
            </w:r>
          </w:p>
        </w:tc>
        <w:tc>
          <w:tcPr>
            <w:tcW w:w="509" w:type="pct"/>
            <w:noWrap/>
            <w:hideMark/>
          </w:tcPr>
          <w:p w14:paraId="24DC31B5" w14:textId="77777777" w:rsidR="00C36E1F" w:rsidRPr="0085443D" w:rsidRDefault="00C36E1F" w:rsidP="00C36E1F">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53</w:t>
            </w:r>
          </w:p>
        </w:tc>
      </w:tr>
      <w:tr w:rsidR="00BE0D32" w:rsidRPr="0085443D" w14:paraId="71721EC5" w14:textId="77777777" w:rsidTr="00DC69AD">
        <w:trPr>
          <w:trHeight w:val="57"/>
        </w:trPr>
        <w:tc>
          <w:tcPr>
            <w:cnfStyle w:val="001000000000" w:firstRow="0" w:lastRow="0" w:firstColumn="1" w:lastColumn="0" w:oddVBand="0" w:evenVBand="0" w:oddHBand="0" w:evenHBand="0" w:firstRowFirstColumn="0" w:firstRowLastColumn="0" w:lastRowFirstColumn="0" w:lastRowLastColumn="0"/>
            <w:tcW w:w="2452" w:type="pct"/>
            <w:tcBorders>
              <w:left w:val="none" w:sz="0" w:space="0" w:color="auto"/>
              <w:bottom w:val="none" w:sz="0" w:space="0" w:color="auto"/>
            </w:tcBorders>
            <w:noWrap/>
            <w:hideMark/>
          </w:tcPr>
          <w:p w14:paraId="756FA0C1" w14:textId="77777777" w:rsidR="00C36E1F" w:rsidRPr="0085443D" w:rsidRDefault="00C36E1F" w:rsidP="00C36E1F">
            <w:pPr>
              <w:rPr>
                <w:rFonts w:asciiTheme="minorHAnsi" w:eastAsia="Times New Roman" w:hAnsiTheme="minorHAnsi" w:cstheme="minorHAnsi"/>
                <w:color w:val="000000"/>
                <w:lang w:val="en-US"/>
              </w:rPr>
            </w:pPr>
            <w:r w:rsidRPr="0085443D">
              <w:rPr>
                <w:rFonts w:asciiTheme="minorHAnsi" w:eastAsia="Times New Roman" w:hAnsiTheme="minorHAnsi" w:cstheme="minorHAnsi"/>
                <w:color w:val="000000"/>
                <w:lang w:val="en-US"/>
              </w:rPr>
              <w:t>UKUPNO</w:t>
            </w:r>
          </w:p>
        </w:tc>
        <w:tc>
          <w:tcPr>
            <w:tcW w:w="509" w:type="pct"/>
            <w:noWrap/>
            <w:hideMark/>
          </w:tcPr>
          <w:p w14:paraId="5676F815"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lang w:val="en-US"/>
              </w:rPr>
            </w:pPr>
            <w:r w:rsidRPr="0085443D">
              <w:rPr>
                <w:rFonts w:asciiTheme="minorHAnsi" w:eastAsia="Times New Roman" w:hAnsiTheme="minorHAnsi" w:cstheme="minorHAnsi"/>
                <w:b/>
                <w:color w:val="000000"/>
                <w:lang w:val="en-US"/>
              </w:rPr>
              <w:t>2</w:t>
            </w:r>
            <w:r w:rsidR="006E6EE4" w:rsidRPr="0085443D">
              <w:rPr>
                <w:rFonts w:asciiTheme="minorHAnsi" w:eastAsia="Times New Roman" w:hAnsiTheme="minorHAnsi" w:cstheme="minorHAnsi"/>
                <w:b/>
                <w:color w:val="000000"/>
                <w:lang w:val="en-US"/>
              </w:rPr>
              <w:t>.</w:t>
            </w:r>
            <w:r w:rsidRPr="0085443D">
              <w:rPr>
                <w:rFonts w:asciiTheme="minorHAnsi" w:eastAsia="Times New Roman" w:hAnsiTheme="minorHAnsi" w:cstheme="minorHAnsi"/>
                <w:b/>
                <w:color w:val="000000"/>
                <w:lang w:val="en-US"/>
              </w:rPr>
              <w:t>027</w:t>
            </w:r>
          </w:p>
        </w:tc>
        <w:tc>
          <w:tcPr>
            <w:tcW w:w="510" w:type="pct"/>
            <w:noWrap/>
            <w:hideMark/>
          </w:tcPr>
          <w:p w14:paraId="2D183418"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lang w:val="en-US"/>
              </w:rPr>
            </w:pPr>
            <w:r w:rsidRPr="0085443D">
              <w:rPr>
                <w:rFonts w:asciiTheme="minorHAnsi" w:eastAsia="Times New Roman" w:hAnsiTheme="minorHAnsi" w:cstheme="minorHAnsi"/>
                <w:b/>
                <w:color w:val="000000"/>
                <w:lang w:val="en-US"/>
              </w:rPr>
              <w:t>2</w:t>
            </w:r>
            <w:r w:rsidR="006E6EE4" w:rsidRPr="0085443D">
              <w:rPr>
                <w:rFonts w:asciiTheme="minorHAnsi" w:eastAsia="Times New Roman" w:hAnsiTheme="minorHAnsi" w:cstheme="minorHAnsi"/>
                <w:b/>
                <w:color w:val="000000"/>
                <w:lang w:val="en-US"/>
              </w:rPr>
              <w:t>.</w:t>
            </w:r>
            <w:r w:rsidRPr="0085443D">
              <w:rPr>
                <w:rFonts w:asciiTheme="minorHAnsi" w:eastAsia="Times New Roman" w:hAnsiTheme="minorHAnsi" w:cstheme="minorHAnsi"/>
                <w:b/>
                <w:color w:val="000000"/>
                <w:lang w:val="en-US"/>
              </w:rPr>
              <w:t>000</w:t>
            </w:r>
          </w:p>
        </w:tc>
        <w:tc>
          <w:tcPr>
            <w:tcW w:w="510" w:type="pct"/>
            <w:noWrap/>
            <w:hideMark/>
          </w:tcPr>
          <w:p w14:paraId="149336DE"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lang w:val="en-US"/>
              </w:rPr>
            </w:pPr>
            <w:r w:rsidRPr="0085443D">
              <w:rPr>
                <w:rFonts w:asciiTheme="minorHAnsi" w:eastAsia="Times New Roman" w:hAnsiTheme="minorHAnsi" w:cstheme="minorHAnsi"/>
                <w:b/>
                <w:color w:val="000000"/>
                <w:lang w:val="en-US"/>
              </w:rPr>
              <w:t>2</w:t>
            </w:r>
            <w:r w:rsidR="006E6EE4" w:rsidRPr="0085443D">
              <w:rPr>
                <w:rFonts w:asciiTheme="minorHAnsi" w:eastAsia="Times New Roman" w:hAnsiTheme="minorHAnsi" w:cstheme="minorHAnsi"/>
                <w:b/>
                <w:color w:val="000000"/>
                <w:lang w:val="en-US"/>
              </w:rPr>
              <w:t>.</w:t>
            </w:r>
            <w:r w:rsidRPr="0085443D">
              <w:rPr>
                <w:rFonts w:asciiTheme="minorHAnsi" w:eastAsia="Times New Roman" w:hAnsiTheme="minorHAnsi" w:cstheme="minorHAnsi"/>
                <w:b/>
                <w:color w:val="000000"/>
                <w:lang w:val="en-US"/>
              </w:rPr>
              <w:t>320</w:t>
            </w:r>
          </w:p>
        </w:tc>
        <w:tc>
          <w:tcPr>
            <w:tcW w:w="510" w:type="pct"/>
            <w:noWrap/>
            <w:hideMark/>
          </w:tcPr>
          <w:p w14:paraId="6EAC9453"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lang w:val="en-US"/>
              </w:rPr>
            </w:pPr>
            <w:r w:rsidRPr="0085443D">
              <w:rPr>
                <w:rFonts w:asciiTheme="minorHAnsi" w:eastAsia="Times New Roman" w:hAnsiTheme="minorHAnsi" w:cstheme="minorHAnsi"/>
                <w:b/>
                <w:color w:val="000000"/>
                <w:lang w:val="en-US"/>
              </w:rPr>
              <w:t>2</w:t>
            </w:r>
            <w:r w:rsidR="006E6EE4" w:rsidRPr="0085443D">
              <w:rPr>
                <w:rFonts w:asciiTheme="minorHAnsi" w:eastAsia="Times New Roman" w:hAnsiTheme="minorHAnsi" w:cstheme="minorHAnsi"/>
                <w:b/>
                <w:color w:val="000000"/>
                <w:lang w:val="en-US"/>
              </w:rPr>
              <w:t>.</w:t>
            </w:r>
            <w:r w:rsidRPr="0085443D">
              <w:rPr>
                <w:rFonts w:asciiTheme="minorHAnsi" w:eastAsia="Times New Roman" w:hAnsiTheme="minorHAnsi" w:cstheme="minorHAnsi"/>
                <w:b/>
                <w:color w:val="000000"/>
                <w:lang w:val="en-US"/>
              </w:rPr>
              <w:t>423</w:t>
            </w:r>
          </w:p>
        </w:tc>
        <w:tc>
          <w:tcPr>
            <w:tcW w:w="509" w:type="pct"/>
            <w:noWrap/>
            <w:hideMark/>
          </w:tcPr>
          <w:p w14:paraId="6DC31E66" w14:textId="77777777" w:rsidR="00C36E1F" w:rsidRPr="0085443D" w:rsidRDefault="00C36E1F" w:rsidP="00C36E1F">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lang w:val="en-US"/>
              </w:rPr>
            </w:pPr>
            <w:r w:rsidRPr="0085443D">
              <w:rPr>
                <w:rFonts w:asciiTheme="minorHAnsi" w:eastAsia="Times New Roman" w:hAnsiTheme="minorHAnsi" w:cstheme="minorHAnsi"/>
                <w:b/>
                <w:color w:val="000000"/>
                <w:lang w:val="en-US"/>
              </w:rPr>
              <w:t>2</w:t>
            </w:r>
            <w:r w:rsidR="006E6EE4" w:rsidRPr="0085443D">
              <w:rPr>
                <w:rFonts w:asciiTheme="minorHAnsi" w:eastAsia="Times New Roman" w:hAnsiTheme="minorHAnsi" w:cstheme="minorHAnsi"/>
                <w:b/>
                <w:color w:val="000000"/>
                <w:lang w:val="en-US"/>
              </w:rPr>
              <w:t>.</w:t>
            </w:r>
            <w:r w:rsidRPr="0085443D">
              <w:rPr>
                <w:rFonts w:asciiTheme="minorHAnsi" w:eastAsia="Times New Roman" w:hAnsiTheme="minorHAnsi" w:cstheme="minorHAnsi"/>
                <w:b/>
                <w:color w:val="000000"/>
                <w:lang w:val="en-US"/>
              </w:rPr>
              <w:t>493</w:t>
            </w:r>
          </w:p>
        </w:tc>
      </w:tr>
    </w:tbl>
    <w:p w14:paraId="4213652D" w14:textId="77777777" w:rsidR="003B497A" w:rsidRPr="0085443D" w:rsidRDefault="006E6EE4" w:rsidP="003B497A">
      <w:pPr>
        <w:spacing w:after="80"/>
        <w:rPr>
          <w:rFonts w:eastAsia="Times New Roman"/>
          <w:i/>
          <w:sz w:val="20"/>
        </w:rPr>
      </w:pPr>
      <w:r w:rsidRPr="0085443D">
        <w:rPr>
          <w:rFonts w:eastAsia="Times New Roman"/>
          <w:i/>
          <w:sz w:val="20"/>
        </w:rPr>
        <w:t>Izvor: ORT</w:t>
      </w:r>
    </w:p>
    <w:p w14:paraId="7D1D41B1" w14:textId="14FA6C71" w:rsidR="006E6EE4" w:rsidRPr="0085443D" w:rsidRDefault="006E6EE4" w:rsidP="003B497A">
      <w:pPr>
        <w:spacing w:after="80"/>
        <w:rPr>
          <w:rFonts w:eastAsia="Times New Roman"/>
        </w:rPr>
      </w:pPr>
      <w:r w:rsidRPr="0085443D">
        <w:rPr>
          <w:rFonts w:eastAsia="Times New Roman"/>
        </w:rPr>
        <w:t>Može se uočiti rast izdvajanja za programe socijalne zaštite</w:t>
      </w:r>
      <w:r w:rsidR="003754F5">
        <w:rPr>
          <w:rFonts w:eastAsia="Times New Roman"/>
        </w:rPr>
        <w:t xml:space="preserve">, </w:t>
      </w:r>
      <w:r w:rsidR="003754F5" w:rsidRPr="003754F5">
        <w:rPr>
          <w:rFonts w:eastAsia="Times New Roman"/>
          <w:highlight w:val="cyan"/>
        </w:rPr>
        <w:t>ali je broj korisnika takođe povećan, pa se u narednom periodu može očekivati potreba za dodatnim sredstvima</w:t>
      </w:r>
      <w:r w:rsidRPr="0085443D">
        <w:rPr>
          <w:rFonts w:eastAsia="Times New Roman"/>
        </w:rPr>
        <w:t xml:space="preserve">. </w:t>
      </w:r>
    </w:p>
    <w:p w14:paraId="666E150A" w14:textId="77777777" w:rsidR="00D473A1" w:rsidRPr="0085443D" w:rsidRDefault="003B497A" w:rsidP="00947FAB">
      <w:pPr>
        <w:spacing w:after="80"/>
        <w:rPr>
          <w:b/>
          <w:lang w:val="sr-Cyrl-BA"/>
        </w:rPr>
      </w:pPr>
      <w:r w:rsidRPr="0085443D">
        <w:rPr>
          <w:rFonts w:eastAsia="Times New Roman"/>
          <w:b/>
          <w:i/>
        </w:rPr>
        <w:t xml:space="preserve">Broj penzionera </w:t>
      </w:r>
    </w:p>
    <w:tbl>
      <w:tblPr>
        <w:tblStyle w:val="GridTable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74"/>
        <w:gridCol w:w="1474"/>
        <w:gridCol w:w="1474"/>
        <w:gridCol w:w="1474"/>
        <w:gridCol w:w="1474"/>
      </w:tblGrid>
      <w:tr w:rsidR="00947FAB" w:rsidRPr="0085443D" w14:paraId="0A12586B" w14:textId="77777777" w:rsidTr="00947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282A16A6" w14:textId="77777777" w:rsidR="00947FAB" w:rsidRPr="0085443D" w:rsidRDefault="00947FAB" w:rsidP="00A02EC1">
            <w:pPr>
              <w:rPr>
                <w:color w:val="auto"/>
              </w:rPr>
            </w:pPr>
            <w:r w:rsidRPr="0085443D">
              <w:rPr>
                <w:color w:val="auto"/>
              </w:rPr>
              <w:t>Godina</w:t>
            </w:r>
          </w:p>
        </w:tc>
        <w:tc>
          <w:tcPr>
            <w:tcW w:w="1474" w:type="dxa"/>
            <w:tcBorders>
              <w:top w:val="none" w:sz="0" w:space="0" w:color="auto"/>
              <w:left w:val="none" w:sz="0" w:space="0" w:color="auto"/>
              <w:bottom w:val="none" w:sz="0" w:space="0" w:color="auto"/>
              <w:right w:val="none" w:sz="0" w:space="0" w:color="auto"/>
            </w:tcBorders>
          </w:tcPr>
          <w:p w14:paraId="71B39500" w14:textId="77777777" w:rsidR="00947FAB" w:rsidRPr="0085443D" w:rsidRDefault="00947FAB" w:rsidP="00A02EC1">
            <w:pP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 xml:space="preserve">2012. </w:t>
            </w:r>
          </w:p>
        </w:tc>
        <w:tc>
          <w:tcPr>
            <w:tcW w:w="1474" w:type="dxa"/>
            <w:tcBorders>
              <w:top w:val="none" w:sz="0" w:space="0" w:color="auto"/>
              <w:left w:val="none" w:sz="0" w:space="0" w:color="auto"/>
              <w:bottom w:val="none" w:sz="0" w:space="0" w:color="auto"/>
              <w:right w:val="none" w:sz="0" w:space="0" w:color="auto"/>
            </w:tcBorders>
          </w:tcPr>
          <w:p w14:paraId="116811C5" w14:textId="77777777" w:rsidR="00947FAB" w:rsidRPr="0085443D" w:rsidRDefault="00947FAB" w:rsidP="00A02EC1">
            <w:pP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 xml:space="preserve">2013. </w:t>
            </w:r>
          </w:p>
        </w:tc>
        <w:tc>
          <w:tcPr>
            <w:tcW w:w="1474" w:type="dxa"/>
            <w:tcBorders>
              <w:top w:val="none" w:sz="0" w:space="0" w:color="auto"/>
              <w:left w:val="none" w:sz="0" w:space="0" w:color="auto"/>
              <w:bottom w:val="none" w:sz="0" w:space="0" w:color="auto"/>
              <w:right w:val="none" w:sz="0" w:space="0" w:color="auto"/>
            </w:tcBorders>
          </w:tcPr>
          <w:p w14:paraId="607E7447" w14:textId="77777777" w:rsidR="00947FAB" w:rsidRPr="0085443D" w:rsidRDefault="00947FAB" w:rsidP="00A02EC1">
            <w:pP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 xml:space="preserve">2014. </w:t>
            </w:r>
          </w:p>
        </w:tc>
        <w:tc>
          <w:tcPr>
            <w:tcW w:w="1474" w:type="dxa"/>
            <w:tcBorders>
              <w:top w:val="none" w:sz="0" w:space="0" w:color="auto"/>
              <w:left w:val="none" w:sz="0" w:space="0" w:color="auto"/>
              <w:bottom w:val="none" w:sz="0" w:space="0" w:color="auto"/>
              <w:right w:val="none" w:sz="0" w:space="0" w:color="auto"/>
            </w:tcBorders>
          </w:tcPr>
          <w:p w14:paraId="6E3FAD18" w14:textId="77777777" w:rsidR="00947FAB" w:rsidRPr="0085443D" w:rsidRDefault="00947FAB" w:rsidP="00A02EC1">
            <w:pP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 xml:space="preserve">2015. </w:t>
            </w:r>
          </w:p>
        </w:tc>
        <w:tc>
          <w:tcPr>
            <w:tcW w:w="1474" w:type="dxa"/>
            <w:tcBorders>
              <w:top w:val="none" w:sz="0" w:space="0" w:color="auto"/>
              <w:left w:val="none" w:sz="0" w:space="0" w:color="auto"/>
              <w:bottom w:val="none" w:sz="0" w:space="0" w:color="auto"/>
              <w:right w:val="none" w:sz="0" w:space="0" w:color="auto"/>
            </w:tcBorders>
          </w:tcPr>
          <w:p w14:paraId="1BE061BD" w14:textId="77777777" w:rsidR="00947FAB" w:rsidRPr="0085443D" w:rsidRDefault="00947FAB" w:rsidP="00A02EC1">
            <w:pPr>
              <w:cnfStyle w:val="100000000000" w:firstRow="1" w:lastRow="0" w:firstColumn="0" w:lastColumn="0" w:oddVBand="0" w:evenVBand="0" w:oddHBand="0" w:evenHBand="0" w:firstRowFirstColumn="0" w:firstRowLastColumn="0" w:lastRowFirstColumn="0" w:lastRowLastColumn="0"/>
              <w:rPr>
                <w:color w:val="auto"/>
                <w:lang w:val="sr-Cyrl-BA"/>
              </w:rPr>
            </w:pPr>
            <w:r w:rsidRPr="0085443D">
              <w:rPr>
                <w:color w:val="auto"/>
                <w:lang w:val="sr-Cyrl-BA"/>
              </w:rPr>
              <w:t>2016.</w:t>
            </w:r>
          </w:p>
        </w:tc>
      </w:tr>
      <w:tr w:rsidR="00947FAB" w:rsidRPr="0085443D" w14:paraId="48AC29CF" w14:textId="77777777" w:rsidTr="00947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D6C2A8" w14:textId="77777777" w:rsidR="00947FAB" w:rsidRPr="0085443D" w:rsidRDefault="00947FAB" w:rsidP="00A02EC1">
            <w:pPr>
              <w:rPr>
                <w:lang w:val="sr-Cyrl-BA"/>
              </w:rPr>
            </w:pPr>
            <w:r w:rsidRPr="0085443D">
              <w:rPr>
                <w:lang w:val="sr-Cyrl-BA"/>
              </w:rPr>
              <w:t>Broj penzionera</w:t>
            </w:r>
          </w:p>
        </w:tc>
        <w:tc>
          <w:tcPr>
            <w:tcW w:w="1474" w:type="dxa"/>
          </w:tcPr>
          <w:p w14:paraId="55F6934D" w14:textId="77777777" w:rsidR="00947FAB" w:rsidRPr="0085443D" w:rsidRDefault="00947FAB" w:rsidP="00A02EC1">
            <w:pP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4</w:t>
            </w:r>
            <w:r w:rsidR="006E6EE4" w:rsidRPr="0085443D">
              <w:t>.</w:t>
            </w:r>
            <w:r w:rsidRPr="0085443D">
              <w:rPr>
                <w:lang w:val="sr-Cyrl-BA"/>
              </w:rPr>
              <w:t>518</w:t>
            </w:r>
          </w:p>
        </w:tc>
        <w:tc>
          <w:tcPr>
            <w:tcW w:w="1474" w:type="dxa"/>
          </w:tcPr>
          <w:p w14:paraId="6F7DDCF1" w14:textId="77777777" w:rsidR="00947FAB" w:rsidRPr="0085443D" w:rsidRDefault="00947FAB" w:rsidP="00A02EC1">
            <w:pP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4</w:t>
            </w:r>
            <w:r w:rsidR="006E6EE4" w:rsidRPr="0085443D">
              <w:t>.</w:t>
            </w:r>
            <w:r w:rsidRPr="0085443D">
              <w:rPr>
                <w:lang w:val="sr-Cyrl-BA"/>
              </w:rPr>
              <w:t>515</w:t>
            </w:r>
          </w:p>
        </w:tc>
        <w:tc>
          <w:tcPr>
            <w:tcW w:w="1474" w:type="dxa"/>
          </w:tcPr>
          <w:p w14:paraId="4A91FFF0" w14:textId="77777777" w:rsidR="00947FAB" w:rsidRPr="0085443D" w:rsidRDefault="00947FAB" w:rsidP="00A02EC1">
            <w:pP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4</w:t>
            </w:r>
            <w:r w:rsidR="006E6EE4" w:rsidRPr="0085443D">
              <w:t>.</w:t>
            </w:r>
            <w:r w:rsidRPr="0085443D">
              <w:rPr>
                <w:lang w:val="sr-Cyrl-BA"/>
              </w:rPr>
              <w:t>502</w:t>
            </w:r>
          </w:p>
        </w:tc>
        <w:tc>
          <w:tcPr>
            <w:tcW w:w="1474" w:type="dxa"/>
          </w:tcPr>
          <w:p w14:paraId="5E1473BA" w14:textId="77777777" w:rsidR="00947FAB" w:rsidRPr="0085443D" w:rsidRDefault="00947FAB" w:rsidP="00A02EC1">
            <w:pP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4</w:t>
            </w:r>
            <w:r w:rsidR="006E6EE4" w:rsidRPr="0085443D">
              <w:t>.</w:t>
            </w:r>
            <w:r w:rsidRPr="0085443D">
              <w:rPr>
                <w:lang w:val="sr-Cyrl-BA"/>
              </w:rPr>
              <w:t>512</w:t>
            </w:r>
          </w:p>
        </w:tc>
        <w:tc>
          <w:tcPr>
            <w:tcW w:w="1474" w:type="dxa"/>
          </w:tcPr>
          <w:p w14:paraId="51A882BB" w14:textId="77777777" w:rsidR="00947FAB" w:rsidRPr="0085443D" w:rsidRDefault="00947FAB" w:rsidP="00A02EC1">
            <w:pPr>
              <w:cnfStyle w:val="000000100000" w:firstRow="0" w:lastRow="0" w:firstColumn="0" w:lastColumn="0" w:oddVBand="0" w:evenVBand="0" w:oddHBand="1" w:evenHBand="0" w:firstRowFirstColumn="0" w:firstRowLastColumn="0" w:lastRowFirstColumn="0" w:lastRowLastColumn="0"/>
              <w:rPr>
                <w:lang w:val="sr-Cyrl-BA"/>
              </w:rPr>
            </w:pPr>
            <w:r w:rsidRPr="0085443D">
              <w:rPr>
                <w:lang w:val="sr-Cyrl-BA"/>
              </w:rPr>
              <w:t>4</w:t>
            </w:r>
            <w:r w:rsidR="006E6EE4" w:rsidRPr="0085443D">
              <w:t>.</w:t>
            </w:r>
            <w:r w:rsidRPr="0085443D">
              <w:rPr>
                <w:lang w:val="sr-Cyrl-BA"/>
              </w:rPr>
              <w:t>506</w:t>
            </w:r>
          </w:p>
        </w:tc>
      </w:tr>
    </w:tbl>
    <w:p w14:paraId="0FCCB6EE" w14:textId="77777777" w:rsidR="006E6EE4" w:rsidRPr="0085443D" w:rsidRDefault="006E6EE4" w:rsidP="006E6EE4">
      <w:pPr>
        <w:spacing w:after="80"/>
        <w:rPr>
          <w:rFonts w:eastAsia="Times New Roman"/>
          <w:i/>
          <w:sz w:val="20"/>
        </w:rPr>
      </w:pPr>
      <w:r w:rsidRPr="0085443D">
        <w:rPr>
          <w:rFonts w:eastAsia="Times New Roman"/>
          <w:i/>
          <w:sz w:val="20"/>
        </w:rPr>
        <w:t>Izvor: ORT</w:t>
      </w:r>
    </w:p>
    <w:p w14:paraId="3B927BF0" w14:textId="77777777" w:rsidR="00D473A1" w:rsidRPr="0085443D" w:rsidRDefault="00D473A1" w:rsidP="00D473A1"/>
    <w:p w14:paraId="7DA977DB" w14:textId="77777777" w:rsidR="003B497A" w:rsidRPr="0085443D" w:rsidRDefault="003B497A" w:rsidP="003B497A">
      <w:pPr>
        <w:spacing w:after="80"/>
        <w:rPr>
          <w:b/>
          <w:i/>
          <w:lang w:val="hr-HR"/>
        </w:rPr>
      </w:pPr>
      <w:r w:rsidRPr="0085443D">
        <w:rPr>
          <w:b/>
          <w:i/>
          <w:lang w:val="hr-HR"/>
        </w:rPr>
        <w:t xml:space="preserve">Obrazovanje - broj učenika koji pohađaju osnovne </w:t>
      </w:r>
      <w:r w:rsidR="00DC3B52" w:rsidRPr="0085443D">
        <w:rPr>
          <w:b/>
          <w:i/>
          <w:lang w:val="hr-HR"/>
        </w:rPr>
        <w:t xml:space="preserve">i srednje </w:t>
      </w:r>
      <w:r w:rsidRPr="0085443D">
        <w:rPr>
          <w:b/>
          <w:i/>
          <w:lang w:val="hr-HR"/>
        </w:rPr>
        <w:t xml:space="preserve">škole na području </w:t>
      </w:r>
      <w:r w:rsidR="00DC3B52" w:rsidRPr="0085443D">
        <w:rPr>
          <w:b/>
          <w:i/>
          <w:lang w:val="hr-HR"/>
        </w:rPr>
        <w:t>o</w:t>
      </w:r>
      <w:r w:rsidRPr="0085443D">
        <w:rPr>
          <w:b/>
          <w:i/>
          <w:lang w:val="hr-HR"/>
        </w:rPr>
        <w:t>p</w:t>
      </w:r>
      <w:r w:rsidR="00DC3B52" w:rsidRPr="0085443D">
        <w:rPr>
          <w:b/>
          <w:i/>
          <w:lang w:val="hr-HR"/>
        </w:rPr>
        <w:t>št</w:t>
      </w:r>
      <w:r w:rsidRPr="0085443D">
        <w:rPr>
          <w:b/>
          <w:i/>
          <w:lang w:val="hr-HR"/>
        </w:rPr>
        <w:t>ine</w:t>
      </w:r>
    </w:p>
    <w:p w14:paraId="69680C4F" w14:textId="77777777" w:rsidR="003718A7" w:rsidRPr="0085443D" w:rsidRDefault="007B3DED" w:rsidP="00CC2344">
      <w:pPr>
        <w:jc w:val="both"/>
        <w:rPr>
          <w:rFonts w:eastAsia="Times New Roman" w:cs="Calibri"/>
          <w:bCs/>
          <w:color w:val="000000"/>
          <w:lang w:val="en-US"/>
        </w:rPr>
      </w:pPr>
      <w:r w:rsidRPr="0085443D">
        <w:rPr>
          <w:rFonts w:eastAsia="Times New Roman" w:cs="Calibri"/>
          <w:bCs/>
          <w:color w:val="000000"/>
          <w:lang w:val="en-US"/>
        </w:rPr>
        <w:t>Predškolsko</w:t>
      </w:r>
      <w:r w:rsidR="003718A7" w:rsidRPr="0085443D">
        <w:rPr>
          <w:rFonts w:eastAsia="Times New Roman" w:cs="Calibri"/>
          <w:bCs/>
          <w:color w:val="000000"/>
          <w:lang w:val="en-US"/>
        </w:rPr>
        <w:t xml:space="preserve"> </w:t>
      </w:r>
      <w:r w:rsidRPr="0085443D">
        <w:rPr>
          <w:rFonts w:eastAsia="Times New Roman" w:cs="Calibri"/>
          <w:bCs/>
          <w:color w:val="000000"/>
          <w:lang w:val="en-US"/>
        </w:rPr>
        <w:t>obrazovanje</w:t>
      </w:r>
      <w:r w:rsidR="003718A7" w:rsidRPr="0085443D">
        <w:rPr>
          <w:rFonts w:eastAsia="Times New Roman" w:cs="Calibri"/>
          <w:bCs/>
          <w:color w:val="000000"/>
          <w:lang w:val="en-US"/>
        </w:rPr>
        <w:t xml:space="preserve"> </w:t>
      </w:r>
      <w:r w:rsidRPr="0085443D">
        <w:rPr>
          <w:rFonts w:eastAsia="Times New Roman" w:cs="Calibri"/>
          <w:bCs/>
          <w:color w:val="000000"/>
          <w:lang w:val="en-US"/>
        </w:rPr>
        <w:t>i</w:t>
      </w:r>
      <w:r w:rsidR="003718A7" w:rsidRPr="0085443D">
        <w:rPr>
          <w:rFonts w:eastAsia="Times New Roman" w:cs="Calibri"/>
          <w:bCs/>
          <w:color w:val="000000"/>
          <w:lang w:val="en-US"/>
        </w:rPr>
        <w:t xml:space="preserve"> </w:t>
      </w:r>
      <w:r w:rsidRPr="0085443D">
        <w:rPr>
          <w:rFonts w:eastAsia="Times New Roman" w:cs="Calibri"/>
          <w:bCs/>
          <w:color w:val="000000"/>
          <w:lang w:val="en-US"/>
        </w:rPr>
        <w:t>vaspitanje</w:t>
      </w:r>
      <w:r w:rsidR="003718A7" w:rsidRPr="0085443D">
        <w:rPr>
          <w:rFonts w:eastAsia="Times New Roman" w:cs="Calibri"/>
          <w:bCs/>
          <w:color w:val="000000"/>
          <w:lang w:val="en-US"/>
        </w:rPr>
        <w:t xml:space="preserve"> </w:t>
      </w:r>
      <w:r w:rsidRPr="0085443D">
        <w:rPr>
          <w:rFonts w:eastAsia="Times New Roman" w:cs="Calibri"/>
          <w:bCs/>
          <w:color w:val="000000"/>
          <w:lang w:val="en-US"/>
        </w:rPr>
        <w:t>na</w:t>
      </w:r>
      <w:r w:rsidR="003718A7" w:rsidRPr="0085443D">
        <w:rPr>
          <w:rFonts w:eastAsia="Times New Roman" w:cs="Calibri"/>
          <w:bCs/>
          <w:color w:val="000000"/>
          <w:lang w:val="en-US"/>
        </w:rPr>
        <w:t xml:space="preserve"> </w:t>
      </w:r>
      <w:r w:rsidRPr="0085443D">
        <w:rPr>
          <w:rFonts w:eastAsia="Times New Roman" w:cs="Calibri"/>
          <w:bCs/>
          <w:color w:val="000000"/>
          <w:lang w:val="en-US"/>
        </w:rPr>
        <w:t>području</w:t>
      </w:r>
      <w:r w:rsidR="003718A7" w:rsidRPr="0085443D">
        <w:rPr>
          <w:rFonts w:eastAsia="Times New Roman" w:cs="Calibri"/>
          <w:bCs/>
          <w:color w:val="000000"/>
          <w:lang w:val="en-US"/>
        </w:rPr>
        <w:t xml:space="preserve"> </w:t>
      </w:r>
      <w:r w:rsidRPr="0085443D">
        <w:rPr>
          <w:rFonts w:eastAsia="Times New Roman" w:cs="Calibri"/>
          <w:bCs/>
          <w:color w:val="000000"/>
          <w:lang w:val="en-US"/>
        </w:rPr>
        <w:t>opštine</w:t>
      </w:r>
      <w:r w:rsidR="003718A7" w:rsidRPr="0085443D">
        <w:rPr>
          <w:rFonts w:eastAsia="Times New Roman" w:cs="Calibri"/>
          <w:bCs/>
          <w:color w:val="000000"/>
          <w:lang w:val="en-US"/>
        </w:rPr>
        <w:t xml:space="preserve"> </w:t>
      </w:r>
      <w:r w:rsidRPr="0085443D">
        <w:rPr>
          <w:rFonts w:eastAsia="Times New Roman" w:cs="Calibri"/>
          <w:bCs/>
          <w:color w:val="000000"/>
          <w:lang w:val="en-US"/>
        </w:rPr>
        <w:t>Prnjavor</w:t>
      </w:r>
      <w:r w:rsidR="003718A7" w:rsidRPr="0085443D">
        <w:rPr>
          <w:rFonts w:eastAsia="Times New Roman" w:cs="Calibri"/>
          <w:bCs/>
          <w:color w:val="000000"/>
          <w:lang w:val="en-US"/>
        </w:rPr>
        <w:t xml:space="preserve"> </w:t>
      </w:r>
      <w:r w:rsidRPr="0085443D">
        <w:rPr>
          <w:rFonts w:eastAsia="Times New Roman" w:cs="Calibri"/>
          <w:bCs/>
          <w:color w:val="000000"/>
          <w:lang w:val="en-US"/>
        </w:rPr>
        <w:t>odvija</w:t>
      </w:r>
      <w:r w:rsidR="003718A7" w:rsidRPr="0085443D">
        <w:rPr>
          <w:rFonts w:eastAsia="Times New Roman" w:cs="Calibri"/>
          <w:bCs/>
          <w:color w:val="000000"/>
          <w:lang w:val="en-US"/>
        </w:rPr>
        <w:t xml:space="preserve"> </w:t>
      </w:r>
      <w:r w:rsidRPr="0085443D">
        <w:rPr>
          <w:rFonts w:eastAsia="Times New Roman" w:cs="Calibri"/>
          <w:bCs/>
          <w:color w:val="000000"/>
          <w:lang w:val="en-US"/>
        </w:rPr>
        <w:t>se</w:t>
      </w:r>
      <w:r w:rsidR="003718A7" w:rsidRPr="0085443D">
        <w:rPr>
          <w:rFonts w:eastAsia="Times New Roman" w:cs="Calibri"/>
          <w:bCs/>
          <w:color w:val="000000"/>
          <w:lang w:val="en-US"/>
        </w:rPr>
        <w:t xml:space="preserve"> </w:t>
      </w:r>
      <w:r w:rsidRPr="0085443D">
        <w:rPr>
          <w:rFonts w:eastAsia="Times New Roman" w:cs="Calibri"/>
          <w:bCs/>
          <w:color w:val="000000"/>
          <w:lang w:val="en-US"/>
        </w:rPr>
        <w:t>u</w:t>
      </w:r>
      <w:r w:rsidR="003718A7" w:rsidRPr="0085443D">
        <w:rPr>
          <w:rFonts w:eastAsia="Times New Roman" w:cs="Calibri"/>
          <w:bCs/>
          <w:color w:val="000000"/>
          <w:lang w:val="en-US"/>
        </w:rPr>
        <w:t xml:space="preserve"> </w:t>
      </w:r>
      <w:r w:rsidRPr="0085443D">
        <w:rPr>
          <w:rFonts w:eastAsia="Times New Roman" w:cs="Calibri"/>
          <w:bCs/>
          <w:color w:val="000000"/>
          <w:lang w:val="en-US"/>
        </w:rPr>
        <w:t>JU</w:t>
      </w:r>
      <w:r w:rsidR="003718A7" w:rsidRPr="0085443D">
        <w:rPr>
          <w:rFonts w:eastAsia="Times New Roman" w:cs="Calibri"/>
          <w:bCs/>
          <w:color w:val="000000"/>
          <w:lang w:val="en-US"/>
        </w:rPr>
        <w:t xml:space="preserve"> </w:t>
      </w:r>
      <w:r w:rsidRPr="0085443D">
        <w:rPr>
          <w:rFonts w:eastAsia="Times New Roman" w:cs="Calibri"/>
          <w:bCs/>
          <w:color w:val="000000"/>
          <w:lang w:val="en-US"/>
        </w:rPr>
        <w:t>Dječiji</w:t>
      </w:r>
      <w:r w:rsidR="003718A7" w:rsidRPr="0085443D">
        <w:rPr>
          <w:rFonts w:eastAsia="Times New Roman" w:cs="Calibri"/>
          <w:bCs/>
          <w:color w:val="000000"/>
          <w:lang w:val="en-US"/>
        </w:rPr>
        <w:t xml:space="preserve"> </w:t>
      </w:r>
      <w:r w:rsidRPr="0085443D">
        <w:rPr>
          <w:rFonts w:eastAsia="Times New Roman" w:cs="Calibri"/>
          <w:bCs/>
          <w:color w:val="000000"/>
          <w:lang w:val="en-US"/>
        </w:rPr>
        <w:t>vrtić</w:t>
      </w:r>
      <w:r w:rsidR="003718A7" w:rsidRPr="0085443D">
        <w:rPr>
          <w:rFonts w:eastAsia="Times New Roman" w:cs="Calibri"/>
          <w:bCs/>
          <w:color w:val="000000"/>
          <w:lang w:val="en-US"/>
        </w:rPr>
        <w:t xml:space="preserve"> „</w:t>
      </w:r>
      <w:r w:rsidRPr="0085443D">
        <w:rPr>
          <w:rFonts w:eastAsia="Times New Roman" w:cs="Calibri"/>
          <w:bCs/>
          <w:color w:val="000000"/>
          <w:lang w:val="en-US"/>
        </w:rPr>
        <w:t>Naša</w:t>
      </w:r>
      <w:r w:rsidR="003718A7" w:rsidRPr="0085443D">
        <w:rPr>
          <w:rFonts w:eastAsia="Times New Roman" w:cs="Calibri"/>
          <w:bCs/>
          <w:color w:val="000000"/>
          <w:lang w:val="en-US"/>
        </w:rPr>
        <w:t xml:space="preserve"> </w:t>
      </w:r>
      <w:r w:rsidRPr="0085443D">
        <w:rPr>
          <w:rFonts w:eastAsia="Times New Roman" w:cs="Calibri"/>
          <w:bCs/>
          <w:color w:val="000000"/>
          <w:lang w:val="en-US"/>
        </w:rPr>
        <w:t>radost</w:t>
      </w:r>
      <w:r w:rsidR="006E6EE4" w:rsidRPr="0085443D">
        <w:rPr>
          <w:rFonts w:eastAsia="Times New Roman" w:cs="Calibri"/>
          <w:bCs/>
          <w:color w:val="000000"/>
          <w:lang w:val="en-US"/>
        </w:rPr>
        <w:t xml:space="preserve">“ </w:t>
      </w:r>
      <w:r w:rsidRPr="0085443D">
        <w:rPr>
          <w:rFonts w:eastAsia="Times New Roman" w:cs="Calibri"/>
          <w:bCs/>
          <w:color w:val="000000"/>
          <w:lang w:val="en-US"/>
        </w:rPr>
        <w:t>Prnjavor</w:t>
      </w:r>
      <w:r w:rsidR="003718A7" w:rsidRPr="0085443D">
        <w:rPr>
          <w:rFonts w:eastAsia="Times New Roman" w:cs="Calibri"/>
          <w:bCs/>
          <w:color w:val="000000"/>
          <w:lang w:val="en-US"/>
        </w:rPr>
        <w:t xml:space="preserve">, </w:t>
      </w:r>
      <w:r w:rsidRPr="0085443D">
        <w:rPr>
          <w:rFonts w:eastAsia="Times New Roman" w:cs="Calibri"/>
          <w:bCs/>
          <w:color w:val="000000"/>
          <w:lang w:val="en-US"/>
        </w:rPr>
        <w:t>kao</w:t>
      </w:r>
      <w:r w:rsidR="003718A7" w:rsidRPr="0085443D">
        <w:rPr>
          <w:rFonts w:eastAsia="Times New Roman" w:cs="Calibri"/>
          <w:bCs/>
          <w:color w:val="000000"/>
          <w:lang w:val="en-US"/>
        </w:rPr>
        <w:t xml:space="preserve"> </w:t>
      </w:r>
      <w:r w:rsidRPr="0085443D">
        <w:rPr>
          <w:rFonts w:eastAsia="Times New Roman" w:cs="Calibri"/>
          <w:bCs/>
          <w:color w:val="000000"/>
          <w:lang w:val="en-US"/>
        </w:rPr>
        <w:t>i</w:t>
      </w:r>
      <w:r w:rsidR="003718A7" w:rsidRPr="0085443D">
        <w:rPr>
          <w:rFonts w:eastAsia="Times New Roman" w:cs="Calibri"/>
          <w:bCs/>
          <w:color w:val="000000"/>
          <w:lang w:val="en-US"/>
        </w:rPr>
        <w:t xml:space="preserve"> </w:t>
      </w:r>
      <w:r w:rsidRPr="0085443D">
        <w:rPr>
          <w:rFonts w:eastAsia="Times New Roman" w:cs="Calibri"/>
          <w:bCs/>
          <w:color w:val="000000"/>
          <w:lang w:val="en-US"/>
        </w:rPr>
        <w:t>u</w:t>
      </w:r>
      <w:r w:rsidR="003718A7" w:rsidRPr="0085443D">
        <w:rPr>
          <w:rFonts w:eastAsia="Times New Roman" w:cs="Calibri"/>
          <w:bCs/>
          <w:color w:val="000000"/>
          <w:lang w:val="en-US"/>
        </w:rPr>
        <w:t xml:space="preserve"> </w:t>
      </w:r>
      <w:r w:rsidRPr="0085443D">
        <w:rPr>
          <w:rFonts w:eastAsia="Times New Roman" w:cs="Calibri"/>
          <w:bCs/>
          <w:color w:val="000000"/>
          <w:lang w:val="en-US"/>
        </w:rPr>
        <w:t>tri</w:t>
      </w:r>
      <w:r w:rsidR="003718A7" w:rsidRPr="0085443D">
        <w:rPr>
          <w:rFonts w:eastAsia="Times New Roman" w:cs="Calibri"/>
          <w:bCs/>
          <w:color w:val="000000"/>
          <w:lang w:val="en-US"/>
        </w:rPr>
        <w:t xml:space="preserve"> </w:t>
      </w:r>
      <w:r w:rsidRPr="0085443D">
        <w:rPr>
          <w:rFonts w:eastAsia="Times New Roman" w:cs="Calibri"/>
          <w:bCs/>
          <w:color w:val="000000"/>
          <w:lang w:val="en-US"/>
        </w:rPr>
        <w:t>predškolske</w:t>
      </w:r>
      <w:r w:rsidR="003718A7" w:rsidRPr="0085443D">
        <w:rPr>
          <w:rFonts w:eastAsia="Times New Roman" w:cs="Calibri"/>
          <w:bCs/>
          <w:color w:val="000000"/>
          <w:lang w:val="en-US"/>
        </w:rPr>
        <w:t xml:space="preserve"> </w:t>
      </w:r>
      <w:r w:rsidRPr="0085443D">
        <w:rPr>
          <w:rFonts w:eastAsia="Times New Roman" w:cs="Calibri"/>
          <w:bCs/>
          <w:color w:val="000000"/>
          <w:lang w:val="en-US"/>
        </w:rPr>
        <w:t>ustanove</w:t>
      </w:r>
      <w:r w:rsidR="003718A7" w:rsidRPr="0085443D">
        <w:rPr>
          <w:rFonts w:eastAsia="Times New Roman" w:cs="Calibri"/>
          <w:bCs/>
          <w:color w:val="000000"/>
          <w:lang w:val="en-US"/>
        </w:rPr>
        <w:t xml:space="preserve"> </w:t>
      </w:r>
      <w:r w:rsidRPr="0085443D">
        <w:rPr>
          <w:rFonts w:eastAsia="Times New Roman" w:cs="Calibri"/>
          <w:bCs/>
          <w:color w:val="000000"/>
          <w:lang w:val="en-US"/>
        </w:rPr>
        <w:t>u</w:t>
      </w:r>
      <w:r w:rsidR="003718A7" w:rsidRPr="0085443D">
        <w:rPr>
          <w:rFonts w:eastAsia="Times New Roman" w:cs="Calibri"/>
          <w:bCs/>
          <w:color w:val="000000"/>
          <w:lang w:val="en-US"/>
        </w:rPr>
        <w:t xml:space="preserve"> </w:t>
      </w:r>
      <w:r w:rsidRPr="0085443D">
        <w:rPr>
          <w:rFonts w:eastAsia="Times New Roman" w:cs="Calibri"/>
          <w:bCs/>
          <w:color w:val="000000"/>
          <w:lang w:val="en-US"/>
        </w:rPr>
        <w:t>privatnom</w:t>
      </w:r>
      <w:r w:rsidR="003718A7" w:rsidRPr="0085443D">
        <w:rPr>
          <w:rFonts w:eastAsia="Times New Roman" w:cs="Calibri"/>
          <w:bCs/>
          <w:color w:val="000000"/>
          <w:lang w:val="en-US"/>
        </w:rPr>
        <w:t xml:space="preserve"> </w:t>
      </w:r>
      <w:r w:rsidRPr="0085443D">
        <w:rPr>
          <w:rFonts w:eastAsia="Times New Roman" w:cs="Calibri"/>
          <w:bCs/>
          <w:color w:val="000000"/>
          <w:lang w:val="en-US"/>
        </w:rPr>
        <w:t>vlasništvu</w:t>
      </w:r>
      <w:r w:rsidR="003718A7" w:rsidRPr="0085443D">
        <w:rPr>
          <w:rFonts w:eastAsia="Times New Roman" w:cs="Calibri"/>
          <w:bCs/>
          <w:color w:val="000000"/>
          <w:lang w:val="en-US"/>
        </w:rPr>
        <w:t xml:space="preserve"> (</w:t>
      </w:r>
      <w:r w:rsidRPr="0085443D">
        <w:rPr>
          <w:rFonts w:eastAsia="Times New Roman" w:cs="Calibri"/>
          <w:bCs/>
          <w:color w:val="000000"/>
          <w:lang w:val="en-US"/>
        </w:rPr>
        <w:t>Pčelica</w:t>
      </w:r>
      <w:r w:rsidR="003718A7" w:rsidRPr="0085443D">
        <w:rPr>
          <w:rFonts w:eastAsia="Times New Roman" w:cs="Calibri"/>
          <w:bCs/>
          <w:color w:val="000000"/>
          <w:lang w:val="en-US"/>
        </w:rPr>
        <w:t xml:space="preserve">, </w:t>
      </w:r>
      <w:r w:rsidRPr="0085443D">
        <w:rPr>
          <w:rFonts w:eastAsia="Times New Roman" w:cs="Calibri"/>
          <w:bCs/>
          <w:color w:val="000000"/>
          <w:lang w:val="en-US"/>
        </w:rPr>
        <w:t>Bambi</w:t>
      </w:r>
      <w:r w:rsidR="003718A7" w:rsidRPr="0085443D">
        <w:rPr>
          <w:rFonts w:eastAsia="Times New Roman" w:cs="Calibri"/>
          <w:bCs/>
          <w:color w:val="000000"/>
          <w:lang w:val="en-US"/>
        </w:rPr>
        <w:t xml:space="preserve"> </w:t>
      </w:r>
      <w:r w:rsidRPr="0085443D">
        <w:rPr>
          <w:rFonts w:eastAsia="Times New Roman" w:cs="Calibri"/>
          <w:bCs/>
          <w:color w:val="000000"/>
          <w:lang w:val="en-US"/>
        </w:rPr>
        <w:t>i</w:t>
      </w:r>
      <w:r w:rsidR="003718A7" w:rsidRPr="0085443D">
        <w:rPr>
          <w:rFonts w:eastAsia="Times New Roman" w:cs="Calibri"/>
          <w:bCs/>
          <w:color w:val="000000"/>
          <w:lang w:val="en-US"/>
        </w:rPr>
        <w:t xml:space="preserve"> Mickey Land).</w:t>
      </w:r>
    </w:p>
    <w:p w14:paraId="57AD275D" w14:textId="265CA8B8" w:rsidR="003718A7" w:rsidRPr="0085443D" w:rsidRDefault="007B3DED" w:rsidP="00CC2344">
      <w:pPr>
        <w:jc w:val="both"/>
        <w:rPr>
          <w:rFonts w:eastAsia="Times New Roman" w:cs="Calibri"/>
          <w:bCs/>
          <w:color w:val="000000"/>
          <w:lang w:val="en-US"/>
        </w:rPr>
      </w:pPr>
      <w:r w:rsidRPr="0085443D">
        <w:rPr>
          <w:rFonts w:eastAsia="Times New Roman" w:cs="Calibri"/>
          <w:bCs/>
          <w:color w:val="000000"/>
          <w:lang w:val="en-US"/>
        </w:rPr>
        <w:t>Na</w:t>
      </w:r>
      <w:r w:rsidR="003718A7" w:rsidRPr="0085443D">
        <w:rPr>
          <w:rFonts w:eastAsia="Times New Roman" w:cs="Calibri"/>
          <w:bCs/>
          <w:color w:val="000000"/>
          <w:lang w:val="en-US"/>
        </w:rPr>
        <w:t xml:space="preserve"> </w:t>
      </w:r>
      <w:r w:rsidRPr="0085443D">
        <w:rPr>
          <w:rFonts w:eastAsia="Times New Roman" w:cs="Calibri"/>
          <w:bCs/>
          <w:color w:val="000000"/>
          <w:lang w:val="en-US"/>
        </w:rPr>
        <w:t>području</w:t>
      </w:r>
      <w:r w:rsidR="003718A7" w:rsidRPr="0085443D">
        <w:rPr>
          <w:rFonts w:eastAsia="Times New Roman" w:cs="Calibri"/>
          <w:bCs/>
          <w:color w:val="000000"/>
          <w:lang w:val="en-US"/>
        </w:rPr>
        <w:t xml:space="preserve"> </w:t>
      </w:r>
      <w:r w:rsidRPr="0085443D">
        <w:rPr>
          <w:rFonts w:eastAsia="Times New Roman" w:cs="Calibri"/>
          <w:bCs/>
          <w:color w:val="000000"/>
          <w:lang w:val="en-US"/>
        </w:rPr>
        <w:t>opštine</w:t>
      </w:r>
      <w:r w:rsidR="003718A7" w:rsidRPr="0085443D">
        <w:rPr>
          <w:rFonts w:eastAsia="Times New Roman" w:cs="Calibri"/>
          <w:bCs/>
          <w:color w:val="000000"/>
          <w:lang w:val="en-US"/>
        </w:rPr>
        <w:t xml:space="preserve"> </w:t>
      </w:r>
      <w:r w:rsidRPr="0085443D">
        <w:rPr>
          <w:rFonts w:eastAsia="Times New Roman" w:cs="Calibri"/>
          <w:bCs/>
          <w:color w:val="000000"/>
          <w:lang w:val="en-US"/>
        </w:rPr>
        <w:t>Prnjavor</w:t>
      </w:r>
      <w:r w:rsidR="003718A7" w:rsidRPr="0085443D">
        <w:rPr>
          <w:rFonts w:eastAsia="Times New Roman" w:cs="Calibri"/>
          <w:bCs/>
          <w:color w:val="000000"/>
          <w:lang w:val="en-US"/>
        </w:rPr>
        <w:t xml:space="preserve"> </w:t>
      </w:r>
      <w:r w:rsidRPr="0085443D">
        <w:rPr>
          <w:rFonts w:eastAsia="Times New Roman" w:cs="Calibri"/>
          <w:bCs/>
          <w:color w:val="000000"/>
          <w:lang w:val="en-US"/>
        </w:rPr>
        <w:t>osnovno</w:t>
      </w:r>
      <w:r w:rsidR="003718A7" w:rsidRPr="0085443D">
        <w:rPr>
          <w:rFonts w:eastAsia="Times New Roman" w:cs="Calibri"/>
          <w:bCs/>
          <w:color w:val="000000"/>
          <w:lang w:val="en-US"/>
        </w:rPr>
        <w:t xml:space="preserve"> </w:t>
      </w:r>
      <w:r w:rsidRPr="0085443D">
        <w:rPr>
          <w:rFonts w:eastAsia="Times New Roman" w:cs="Calibri"/>
          <w:bCs/>
          <w:color w:val="000000"/>
          <w:lang w:val="en-US"/>
        </w:rPr>
        <w:t>obrazovanje</w:t>
      </w:r>
      <w:r w:rsidR="003718A7" w:rsidRPr="0085443D">
        <w:rPr>
          <w:rFonts w:eastAsia="Times New Roman" w:cs="Calibri"/>
          <w:bCs/>
          <w:color w:val="000000"/>
          <w:lang w:val="en-US"/>
        </w:rPr>
        <w:t xml:space="preserve"> </w:t>
      </w:r>
      <w:r w:rsidRPr="0085443D">
        <w:rPr>
          <w:rFonts w:eastAsia="Times New Roman" w:cs="Calibri"/>
          <w:bCs/>
          <w:color w:val="000000"/>
          <w:lang w:val="en-US"/>
        </w:rPr>
        <w:t>se</w:t>
      </w:r>
      <w:r w:rsidR="003718A7" w:rsidRPr="0085443D">
        <w:rPr>
          <w:rFonts w:eastAsia="Times New Roman" w:cs="Calibri"/>
          <w:bCs/>
          <w:color w:val="000000"/>
          <w:lang w:val="en-US"/>
        </w:rPr>
        <w:t xml:space="preserve"> </w:t>
      </w:r>
      <w:r w:rsidRPr="0085443D">
        <w:rPr>
          <w:rFonts w:eastAsia="Times New Roman" w:cs="Calibri"/>
          <w:bCs/>
          <w:color w:val="000000"/>
          <w:lang w:val="en-US"/>
        </w:rPr>
        <w:t>odvija</w:t>
      </w:r>
      <w:r w:rsidR="003718A7" w:rsidRPr="0085443D">
        <w:rPr>
          <w:rFonts w:eastAsia="Times New Roman" w:cs="Calibri"/>
          <w:bCs/>
          <w:color w:val="000000"/>
          <w:lang w:val="en-US"/>
        </w:rPr>
        <w:t xml:space="preserve"> </w:t>
      </w:r>
      <w:r w:rsidRPr="0085443D">
        <w:rPr>
          <w:rFonts w:eastAsia="Times New Roman" w:cs="Calibri"/>
          <w:bCs/>
          <w:color w:val="000000"/>
          <w:lang w:val="en-US"/>
        </w:rPr>
        <w:t>kroz</w:t>
      </w:r>
      <w:r w:rsidR="003718A7" w:rsidRPr="0085443D">
        <w:rPr>
          <w:rFonts w:eastAsia="Times New Roman" w:cs="Calibri"/>
          <w:bCs/>
          <w:color w:val="000000"/>
          <w:lang w:val="en-US"/>
        </w:rPr>
        <w:t xml:space="preserve"> </w:t>
      </w:r>
      <w:r w:rsidRPr="0085443D">
        <w:rPr>
          <w:rFonts w:eastAsia="Times New Roman" w:cs="Calibri"/>
          <w:bCs/>
          <w:color w:val="000000"/>
          <w:lang w:val="en-US"/>
        </w:rPr>
        <w:t>rad</w:t>
      </w:r>
      <w:r w:rsidR="003718A7" w:rsidRPr="0085443D">
        <w:rPr>
          <w:rFonts w:eastAsia="Times New Roman" w:cs="Calibri"/>
          <w:bCs/>
          <w:color w:val="000000"/>
          <w:lang w:val="en-US"/>
        </w:rPr>
        <w:t xml:space="preserve"> </w:t>
      </w:r>
      <w:r w:rsidRPr="0085443D">
        <w:rPr>
          <w:rFonts w:eastAsia="Times New Roman" w:cs="Calibri"/>
          <w:bCs/>
          <w:color w:val="000000"/>
          <w:lang w:val="en-US"/>
        </w:rPr>
        <w:t>osam</w:t>
      </w:r>
      <w:r w:rsidR="003718A7" w:rsidRPr="0085443D">
        <w:rPr>
          <w:rFonts w:eastAsia="Times New Roman" w:cs="Calibri"/>
          <w:bCs/>
          <w:color w:val="000000"/>
          <w:lang w:val="en-US"/>
        </w:rPr>
        <w:t xml:space="preserve"> </w:t>
      </w:r>
      <w:r w:rsidRPr="0085443D">
        <w:rPr>
          <w:rFonts w:eastAsia="Times New Roman" w:cs="Calibri"/>
          <w:bCs/>
          <w:color w:val="000000"/>
          <w:lang w:val="en-US"/>
        </w:rPr>
        <w:t>osnovnih</w:t>
      </w:r>
      <w:r w:rsidR="003718A7" w:rsidRPr="0085443D">
        <w:rPr>
          <w:rFonts w:eastAsia="Times New Roman" w:cs="Calibri"/>
          <w:bCs/>
          <w:color w:val="000000"/>
          <w:lang w:val="en-US"/>
        </w:rPr>
        <w:t xml:space="preserve"> </w:t>
      </w:r>
      <w:r w:rsidRPr="0085443D">
        <w:rPr>
          <w:rFonts w:eastAsia="Times New Roman" w:cs="Calibri"/>
          <w:bCs/>
          <w:color w:val="000000"/>
          <w:lang w:val="en-US"/>
        </w:rPr>
        <w:t>škola</w:t>
      </w:r>
      <w:r w:rsidR="003718A7" w:rsidRPr="0085443D">
        <w:rPr>
          <w:rFonts w:eastAsia="Times New Roman" w:cs="Calibri"/>
          <w:bCs/>
          <w:color w:val="000000"/>
          <w:lang w:val="en-US"/>
        </w:rPr>
        <w:t xml:space="preserve">, </w:t>
      </w:r>
      <w:r w:rsidRPr="0085443D">
        <w:rPr>
          <w:rFonts w:eastAsia="Times New Roman" w:cs="Calibri"/>
          <w:bCs/>
          <w:color w:val="000000"/>
          <w:lang w:val="en-US"/>
        </w:rPr>
        <w:t>od</w:t>
      </w:r>
      <w:r w:rsidR="003718A7" w:rsidRPr="0085443D">
        <w:rPr>
          <w:rFonts w:eastAsia="Times New Roman" w:cs="Calibri"/>
          <w:bCs/>
          <w:color w:val="000000"/>
          <w:lang w:val="en-US"/>
        </w:rPr>
        <w:t xml:space="preserve"> </w:t>
      </w:r>
      <w:r w:rsidRPr="0085443D">
        <w:rPr>
          <w:rFonts w:eastAsia="Times New Roman" w:cs="Calibri"/>
          <w:bCs/>
          <w:color w:val="000000"/>
          <w:lang w:val="en-US"/>
        </w:rPr>
        <w:t>čega</w:t>
      </w:r>
      <w:r w:rsidR="003718A7" w:rsidRPr="0085443D">
        <w:rPr>
          <w:rFonts w:eastAsia="Times New Roman" w:cs="Calibri"/>
          <w:bCs/>
          <w:color w:val="000000"/>
          <w:lang w:val="en-US"/>
        </w:rPr>
        <w:t xml:space="preserve"> </w:t>
      </w:r>
      <w:r w:rsidRPr="0085443D">
        <w:rPr>
          <w:rFonts w:eastAsia="Times New Roman" w:cs="Calibri"/>
          <w:bCs/>
          <w:color w:val="000000"/>
          <w:lang w:val="en-US"/>
        </w:rPr>
        <w:t>se</w:t>
      </w:r>
      <w:r w:rsidR="003718A7" w:rsidRPr="0085443D">
        <w:rPr>
          <w:rFonts w:eastAsia="Times New Roman" w:cs="Calibri"/>
          <w:bCs/>
          <w:color w:val="000000"/>
          <w:lang w:val="en-US"/>
        </w:rPr>
        <w:t xml:space="preserve"> </w:t>
      </w:r>
      <w:r w:rsidRPr="0085443D">
        <w:rPr>
          <w:rFonts w:eastAsia="Times New Roman" w:cs="Calibri"/>
          <w:bCs/>
          <w:color w:val="000000"/>
          <w:lang w:val="en-US"/>
        </w:rPr>
        <w:t>dvije</w:t>
      </w:r>
      <w:r w:rsidR="003718A7" w:rsidRPr="0085443D">
        <w:rPr>
          <w:rFonts w:eastAsia="Times New Roman" w:cs="Calibri"/>
          <w:bCs/>
          <w:color w:val="000000"/>
          <w:lang w:val="en-US"/>
        </w:rPr>
        <w:t xml:space="preserve"> </w:t>
      </w:r>
      <w:r w:rsidRPr="0085443D">
        <w:rPr>
          <w:rFonts w:eastAsia="Times New Roman" w:cs="Calibri"/>
          <w:bCs/>
          <w:color w:val="000000"/>
          <w:lang w:val="en-US"/>
        </w:rPr>
        <w:t>nalaze</w:t>
      </w:r>
      <w:r w:rsidR="003718A7" w:rsidRPr="0085443D">
        <w:rPr>
          <w:rFonts w:eastAsia="Times New Roman" w:cs="Calibri"/>
          <w:bCs/>
          <w:color w:val="000000"/>
          <w:lang w:val="en-US"/>
        </w:rPr>
        <w:t xml:space="preserve"> </w:t>
      </w:r>
      <w:r w:rsidRPr="0085443D">
        <w:rPr>
          <w:rFonts w:eastAsia="Times New Roman" w:cs="Calibri"/>
          <w:bCs/>
          <w:color w:val="000000"/>
          <w:lang w:val="en-US"/>
        </w:rPr>
        <w:t>na</w:t>
      </w:r>
      <w:r w:rsidR="003718A7" w:rsidRPr="0085443D">
        <w:rPr>
          <w:rFonts w:eastAsia="Times New Roman" w:cs="Calibri"/>
          <w:bCs/>
          <w:color w:val="000000"/>
          <w:lang w:val="en-US"/>
        </w:rPr>
        <w:t xml:space="preserve"> </w:t>
      </w:r>
      <w:r w:rsidRPr="0085443D">
        <w:rPr>
          <w:rFonts w:eastAsia="Times New Roman" w:cs="Calibri"/>
          <w:bCs/>
          <w:color w:val="000000"/>
          <w:lang w:val="en-US"/>
        </w:rPr>
        <w:t>području</w:t>
      </w:r>
      <w:r w:rsidR="003718A7" w:rsidRPr="0085443D">
        <w:rPr>
          <w:rFonts w:eastAsia="Times New Roman" w:cs="Calibri"/>
          <w:bCs/>
          <w:color w:val="000000"/>
          <w:lang w:val="en-US"/>
        </w:rPr>
        <w:t xml:space="preserve"> </w:t>
      </w:r>
      <w:r w:rsidRPr="0085443D">
        <w:rPr>
          <w:rFonts w:eastAsia="Times New Roman" w:cs="Calibri"/>
          <w:bCs/>
          <w:color w:val="000000"/>
          <w:lang w:val="en-US"/>
        </w:rPr>
        <w:t>grada</w:t>
      </w:r>
      <w:r w:rsidR="003754F5">
        <w:rPr>
          <w:rFonts w:eastAsia="Times New Roman" w:cs="Calibri"/>
          <w:bCs/>
          <w:color w:val="000000"/>
          <w:lang w:val="en-US"/>
        </w:rPr>
        <w:t xml:space="preserve">, </w:t>
      </w:r>
      <w:r w:rsidR="003754F5" w:rsidRPr="003754F5">
        <w:rPr>
          <w:rFonts w:eastAsia="Times New Roman" w:cs="Calibri"/>
          <w:bCs/>
          <w:color w:val="000000"/>
          <w:highlight w:val="cyan"/>
          <w:lang w:val="en-US"/>
        </w:rPr>
        <w:t>a</w:t>
      </w:r>
      <w:r w:rsidR="003718A7" w:rsidRPr="003754F5">
        <w:rPr>
          <w:rFonts w:eastAsia="Times New Roman" w:cs="Calibri"/>
          <w:bCs/>
          <w:color w:val="000000"/>
          <w:highlight w:val="cyan"/>
          <w:lang w:val="en-US"/>
        </w:rPr>
        <w:t xml:space="preserve"> </w:t>
      </w:r>
      <w:r w:rsidRPr="003754F5">
        <w:rPr>
          <w:rFonts w:eastAsia="Times New Roman" w:cs="Calibri"/>
          <w:bCs/>
          <w:color w:val="000000"/>
          <w:highlight w:val="cyan"/>
          <w:lang w:val="en-US"/>
        </w:rPr>
        <w:t>šest</w:t>
      </w:r>
      <w:r w:rsidR="003718A7" w:rsidRPr="003754F5">
        <w:rPr>
          <w:rFonts w:eastAsia="Times New Roman" w:cs="Calibri"/>
          <w:bCs/>
          <w:color w:val="000000"/>
          <w:highlight w:val="cyan"/>
          <w:lang w:val="en-US"/>
        </w:rPr>
        <w:t xml:space="preserve"> </w:t>
      </w:r>
      <w:r w:rsidR="003754F5" w:rsidRPr="003754F5">
        <w:rPr>
          <w:rFonts w:eastAsia="Times New Roman" w:cs="Calibri"/>
          <w:bCs/>
          <w:color w:val="000000"/>
          <w:highlight w:val="cyan"/>
          <w:lang w:val="en-US"/>
        </w:rPr>
        <w:t xml:space="preserve">je </w:t>
      </w:r>
      <w:r w:rsidRPr="003754F5">
        <w:rPr>
          <w:rFonts w:eastAsia="Times New Roman" w:cs="Calibri"/>
          <w:bCs/>
          <w:color w:val="000000"/>
          <w:highlight w:val="cyan"/>
          <w:lang w:val="en-US"/>
        </w:rPr>
        <w:t>seoskih</w:t>
      </w:r>
      <w:r w:rsidR="003718A7" w:rsidRPr="003754F5">
        <w:rPr>
          <w:rFonts w:eastAsia="Times New Roman" w:cs="Calibri"/>
          <w:bCs/>
          <w:color w:val="000000"/>
          <w:highlight w:val="cyan"/>
          <w:lang w:val="en-US"/>
        </w:rPr>
        <w:t xml:space="preserve"> </w:t>
      </w:r>
      <w:r w:rsidRPr="003754F5">
        <w:rPr>
          <w:rFonts w:eastAsia="Times New Roman" w:cs="Calibri"/>
          <w:bCs/>
          <w:color w:val="000000"/>
          <w:highlight w:val="cyan"/>
          <w:lang w:val="en-US"/>
        </w:rPr>
        <w:t>škola</w:t>
      </w:r>
      <w:r w:rsidR="003718A7" w:rsidRPr="003754F5">
        <w:rPr>
          <w:rFonts w:eastAsia="Times New Roman" w:cs="Calibri"/>
          <w:bCs/>
          <w:color w:val="000000"/>
          <w:highlight w:val="cyan"/>
          <w:lang w:val="en-US"/>
        </w:rPr>
        <w:t xml:space="preserve"> </w:t>
      </w:r>
      <w:r w:rsidRPr="003754F5">
        <w:rPr>
          <w:rFonts w:eastAsia="Times New Roman" w:cs="Calibri"/>
          <w:bCs/>
          <w:color w:val="000000"/>
          <w:highlight w:val="cyan"/>
          <w:lang w:val="en-US"/>
        </w:rPr>
        <w:t>sa</w:t>
      </w:r>
      <w:r w:rsidR="003718A7" w:rsidRPr="003754F5">
        <w:rPr>
          <w:rFonts w:eastAsia="Times New Roman" w:cs="Calibri"/>
          <w:bCs/>
          <w:color w:val="000000"/>
          <w:highlight w:val="cyan"/>
          <w:lang w:val="en-US"/>
        </w:rPr>
        <w:t xml:space="preserve"> </w:t>
      </w:r>
      <w:r w:rsidRPr="003754F5">
        <w:rPr>
          <w:rFonts w:eastAsia="Times New Roman" w:cs="Calibri"/>
          <w:bCs/>
          <w:color w:val="000000"/>
          <w:highlight w:val="cyan"/>
          <w:lang w:val="en-US"/>
        </w:rPr>
        <w:t>njihovim</w:t>
      </w:r>
      <w:r w:rsidR="003718A7" w:rsidRPr="003754F5">
        <w:rPr>
          <w:rFonts w:eastAsia="Times New Roman" w:cs="Calibri"/>
          <w:bCs/>
          <w:color w:val="000000"/>
          <w:highlight w:val="cyan"/>
          <w:lang w:val="en-US"/>
        </w:rPr>
        <w:t xml:space="preserve"> </w:t>
      </w:r>
      <w:r w:rsidRPr="003754F5">
        <w:rPr>
          <w:rFonts w:eastAsia="Times New Roman" w:cs="Calibri"/>
          <w:bCs/>
          <w:color w:val="000000"/>
          <w:highlight w:val="cyan"/>
          <w:lang w:val="en-US"/>
        </w:rPr>
        <w:t>područnim</w:t>
      </w:r>
      <w:r w:rsidR="003718A7" w:rsidRPr="003754F5">
        <w:rPr>
          <w:rFonts w:eastAsia="Times New Roman" w:cs="Calibri"/>
          <w:bCs/>
          <w:color w:val="000000"/>
          <w:highlight w:val="cyan"/>
          <w:lang w:val="en-US"/>
        </w:rPr>
        <w:t xml:space="preserve"> </w:t>
      </w:r>
      <w:r w:rsidRPr="003754F5">
        <w:rPr>
          <w:rFonts w:eastAsia="Times New Roman" w:cs="Calibri"/>
          <w:bCs/>
          <w:color w:val="000000"/>
          <w:highlight w:val="cyan"/>
          <w:lang w:val="en-US"/>
        </w:rPr>
        <w:t>odjeljenjima</w:t>
      </w:r>
      <w:r w:rsidR="003718A7" w:rsidRPr="003754F5">
        <w:rPr>
          <w:rFonts w:eastAsia="Times New Roman" w:cs="Calibri"/>
          <w:bCs/>
          <w:color w:val="000000"/>
          <w:highlight w:val="cyan"/>
          <w:lang w:val="en-US"/>
        </w:rPr>
        <w:t>.</w:t>
      </w:r>
    </w:p>
    <w:p w14:paraId="28CBED82" w14:textId="77777777" w:rsidR="003718A7" w:rsidRPr="0085443D" w:rsidRDefault="007B3DED" w:rsidP="00CC2344">
      <w:pPr>
        <w:jc w:val="both"/>
        <w:rPr>
          <w:rFonts w:eastAsia="Times New Roman" w:cs="Calibri"/>
          <w:bCs/>
          <w:color w:val="000000"/>
          <w:lang w:val="en-US"/>
        </w:rPr>
      </w:pPr>
      <w:r w:rsidRPr="0085443D">
        <w:rPr>
          <w:rFonts w:eastAsia="Times New Roman" w:cs="Calibri"/>
          <w:bCs/>
          <w:color w:val="000000"/>
          <w:lang w:val="en-US"/>
        </w:rPr>
        <w:t>Srednje</w:t>
      </w:r>
      <w:r w:rsidR="003718A7" w:rsidRPr="0085443D">
        <w:rPr>
          <w:rFonts w:eastAsia="Times New Roman" w:cs="Calibri"/>
          <w:bCs/>
          <w:color w:val="000000"/>
          <w:lang w:val="en-US"/>
        </w:rPr>
        <w:t xml:space="preserve"> </w:t>
      </w:r>
      <w:r w:rsidRPr="0085443D">
        <w:rPr>
          <w:rFonts w:eastAsia="Times New Roman" w:cs="Calibri"/>
          <w:bCs/>
          <w:color w:val="000000"/>
          <w:lang w:val="en-US"/>
        </w:rPr>
        <w:t>obrazovanje</w:t>
      </w:r>
      <w:r w:rsidR="003718A7" w:rsidRPr="0085443D">
        <w:rPr>
          <w:rFonts w:eastAsia="Times New Roman" w:cs="Calibri"/>
          <w:bCs/>
          <w:color w:val="000000"/>
          <w:lang w:val="en-US"/>
        </w:rPr>
        <w:t xml:space="preserve"> </w:t>
      </w:r>
      <w:r w:rsidRPr="0085443D">
        <w:rPr>
          <w:rFonts w:eastAsia="Times New Roman" w:cs="Calibri"/>
          <w:bCs/>
          <w:color w:val="000000"/>
          <w:lang w:val="en-US"/>
        </w:rPr>
        <w:t>na</w:t>
      </w:r>
      <w:r w:rsidR="003718A7" w:rsidRPr="0085443D">
        <w:rPr>
          <w:rFonts w:eastAsia="Times New Roman" w:cs="Calibri"/>
          <w:bCs/>
          <w:color w:val="000000"/>
          <w:lang w:val="en-US"/>
        </w:rPr>
        <w:t xml:space="preserve"> </w:t>
      </w:r>
      <w:r w:rsidRPr="0085443D">
        <w:rPr>
          <w:rFonts w:eastAsia="Times New Roman" w:cs="Calibri"/>
          <w:bCs/>
          <w:color w:val="000000"/>
          <w:lang w:val="en-US"/>
        </w:rPr>
        <w:t>području</w:t>
      </w:r>
      <w:r w:rsidR="003718A7" w:rsidRPr="0085443D">
        <w:rPr>
          <w:rFonts w:eastAsia="Times New Roman" w:cs="Calibri"/>
          <w:bCs/>
          <w:color w:val="000000"/>
          <w:lang w:val="en-US"/>
        </w:rPr>
        <w:t xml:space="preserve"> </w:t>
      </w:r>
      <w:r w:rsidRPr="0085443D">
        <w:rPr>
          <w:rFonts w:eastAsia="Times New Roman" w:cs="Calibri"/>
          <w:bCs/>
          <w:color w:val="000000"/>
          <w:lang w:val="en-US"/>
        </w:rPr>
        <w:t>opštine</w:t>
      </w:r>
      <w:r w:rsidR="003718A7" w:rsidRPr="0085443D">
        <w:rPr>
          <w:rFonts w:eastAsia="Times New Roman" w:cs="Calibri"/>
          <w:bCs/>
          <w:color w:val="000000"/>
          <w:lang w:val="en-US"/>
        </w:rPr>
        <w:t xml:space="preserve"> </w:t>
      </w:r>
      <w:r w:rsidRPr="0085443D">
        <w:rPr>
          <w:rFonts w:eastAsia="Times New Roman" w:cs="Calibri"/>
          <w:bCs/>
          <w:color w:val="000000"/>
          <w:lang w:val="en-US"/>
        </w:rPr>
        <w:t>Prnjavor</w:t>
      </w:r>
      <w:r w:rsidR="003718A7" w:rsidRPr="0085443D">
        <w:rPr>
          <w:rFonts w:eastAsia="Times New Roman" w:cs="Calibri"/>
          <w:bCs/>
          <w:color w:val="000000"/>
          <w:lang w:val="en-US"/>
        </w:rPr>
        <w:t xml:space="preserve"> </w:t>
      </w:r>
      <w:r w:rsidRPr="0085443D">
        <w:rPr>
          <w:rFonts w:eastAsia="Times New Roman" w:cs="Calibri"/>
          <w:bCs/>
          <w:color w:val="000000"/>
          <w:lang w:val="en-US"/>
        </w:rPr>
        <w:t>se</w:t>
      </w:r>
      <w:r w:rsidR="003718A7" w:rsidRPr="0085443D">
        <w:rPr>
          <w:rFonts w:eastAsia="Times New Roman" w:cs="Calibri"/>
          <w:bCs/>
          <w:color w:val="000000"/>
          <w:lang w:val="en-US"/>
        </w:rPr>
        <w:t xml:space="preserve"> </w:t>
      </w:r>
      <w:r w:rsidRPr="0085443D">
        <w:rPr>
          <w:rFonts w:eastAsia="Times New Roman" w:cs="Calibri"/>
          <w:bCs/>
          <w:color w:val="000000"/>
          <w:lang w:val="en-US"/>
        </w:rPr>
        <w:t>odvija</w:t>
      </w:r>
      <w:r w:rsidR="003718A7" w:rsidRPr="0085443D">
        <w:rPr>
          <w:rFonts w:eastAsia="Times New Roman" w:cs="Calibri"/>
          <w:bCs/>
          <w:color w:val="000000"/>
          <w:lang w:val="en-US"/>
        </w:rPr>
        <w:t xml:space="preserve"> </w:t>
      </w:r>
      <w:r w:rsidRPr="0085443D">
        <w:rPr>
          <w:rFonts w:eastAsia="Times New Roman" w:cs="Calibri"/>
          <w:bCs/>
          <w:color w:val="000000"/>
          <w:lang w:val="en-US"/>
        </w:rPr>
        <w:t>kroz</w:t>
      </w:r>
      <w:r w:rsidR="003718A7" w:rsidRPr="0085443D">
        <w:rPr>
          <w:rFonts w:eastAsia="Times New Roman" w:cs="Calibri"/>
          <w:bCs/>
          <w:color w:val="000000"/>
          <w:lang w:val="en-US"/>
        </w:rPr>
        <w:t xml:space="preserve"> </w:t>
      </w:r>
      <w:r w:rsidRPr="0085443D">
        <w:rPr>
          <w:rFonts w:eastAsia="Times New Roman" w:cs="Calibri"/>
          <w:bCs/>
          <w:color w:val="000000"/>
          <w:lang w:val="en-US"/>
        </w:rPr>
        <w:t>rad</w:t>
      </w:r>
      <w:r w:rsidR="003718A7" w:rsidRPr="0085443D">
        <w:rPr>
          <w:rFonts w:eastAsia="Times New Roman" w:cs="Calibri"/>
          <w:bCs/>
          <w:color w:val="000000"/>
          <w:lang w:val="en-US"/>
        </w:rPr>
        <w:t xml:space="preserve"> </w:t>
      </w:r>
      <w:r w:rsidRPr="0085443D">
        <w:rPr>
          <w:rFonts w:eastAsia="Times New Roman" w:cs="Calibri"/>
          <w:bCs/>
          <w:color w:val="000000"/>
          <w:lang w:val="en-US"/>
        </w:rPr>
        <w:t>dvije</w:t>
      </w:r>
      <w:r w:rsidR="003718A7" w:rsidRPr="0085443D">
        <w:rPr>
          <w:rFonts w:eastAsia="Times New Roman" w:cs="Calibri"/>
          <w:bCs/>
          <w:color w:val="000000"/>
          <w:lang w:val="en-US"/>
        </w:rPr>
        <w:t xml:space="preserve"> </w:t>
      </w:r>
      <w:r w:rsidRPr="0085443D">
        <w:rPr>
          <w:rFonts w:eastAsia="Times New Roman" w:cs="Calibri"/>
          <w:bCs/>
          <w:color w:val="000000"/>
          <w:lang w:val="en-US"/>
        </w:rPr>
        <w:t>škole</w:t>
      </w:r>
      <w:r w:rsidR="003718A7" w:rsidRPr="0085443D">
        <w:rPr>
          <w:rFonts w:eastAsia="Times New Roman" w:cs="Calibri"/>
          <w:bCs/>
          <w:color w:val="000000"/>
          <w:lang w:val="en-US"/>
        </w:rPr>
        <w:t xml:space="preserve">: </w:t>
      </w:r>
      <w:r w:rsidRPr="0085443D">
        <w:rPr>
          <w:rFonts w:eastAsia="Times New Roman" w:cs="Calibri"/>
          <w:bCs/>
          <w:color w:val="000000"/>
          <w:lang w:val="en-US"/>
        </w:rPr>
        <w:t>JU</w:t>
      </w:r>
      <w:r w:rsidR="003718A7" w:rsidRPr="0085443D">
        <w:rPr>
          <w:rFonts w:eastAsia="Times New Roman" w:cs="Calibri"/>
          <w:bCs/>
          <w:color w:val="000000"/>
          <w:lang w:val="en-US"/>
        </w:rPr>
        <w:t xml:space="preserve"> </w:t>
      </w:r>
      <w:r w:rsidRPr="0085443D">
        <w:rPr>
          <w:rFonts w:eastAsia="Times New Roman" w:cs="Calibri"/>
          <w:bCs/>
          <w:color w:val="000000"/>
          <w:lang w:val="en-US"/>
        </w:rPr>
        <w:t>Gimnazija</w:t>
      </w:r>
      <w:r w:rsidR="003718A7" w:rsidRPr="0085443D">
        <w:rPr>
          <w:rFonts w:eastAsia="Times New Roman" w:cs="Calibri"/>
          <w:bCs/>
          <w:color w:val="000000"/>
          <w:lang w:val="en-US"/>
        </w:rPr>
        <w:t xml:space="preserve"> </w:t>
      </w:r>
      <w:r w:rsidRPr="0085443D">
        <w:rPr>
          <w:rFonts w:eastAsia="Times New Roman" w:cs="Calibri"/>
          <w:bCs/>
          <w:color w:val="000000"/>
          <w:lang w:val="en-US"/>
        </w:rPr>
        <w:t>Prnjavor</w:t>
      </w:r>
      <w:r w:rsidR="003718A7" w:rsidRPr="0085443D">
        <w:rPr>
          <w:rFonts w:eastAsia="Times New Roman" w:cs="Calibri"/>
          <w:bCs/>
          <w:color w:val="000000"/>
          <w:lang w:val="en-US"/>
        </w:rPr>
        <w:t xml:space="preserve"> </w:t>
      </w:r>
      <w:r w:rsidRPr="0085443D">
        <w:rPr>
          <w:rFonts w:eastAsia="Times New Roman" w:cs="Calibri"/>
          <w:bCs/>
          <w:color w:val="000000"/>
          <w:lang w:val="en-US"/>
        </w:rPr>
        <w:t>i</w:t>
      </w:r>
      <w:r w:rsidR="003718A7" w:rsidRPr="0085443D">
        <w:rPr>
          <w:rFonts w:eastAsia="Times New Roman" w:cs="Calibri"/>
          <w:bCs/>
          <w:color w:val="000000"/>
          <w:lang w:val="en-US"/>
        </w:rPr>
        <w:t xml:space="preserve"> </w:t>
      </w:r>
      <w:r w:rsidRPr="0085443D">
        <w:rPr>
          <w:rFonts w:eastAsia="Times New Roman" w:cs="Calibri"/>
          <w:bCs/>
          <w:color w:val="000000"/>
          <w:lang w:val="en-US"/>
        </w:rPr>
        <w:t>JU</w:t>
      </w:r>
      <w:r w:rsidR="003718A7" w:rsidRPr="0085443D">
        <w:rPr>
          <w:rFonts w:eastAsia="Times New Roman" w:cs="Calibri"/>
          <w:bCs/>
          <w:color w:val="000000"/>
          <w:lang w:val="en-US"/>
        </w:rPr>
        <w:t xml:space="preserve"> </w:t>
      </w:r>
      <w:r w:rsidRPr="0085443D">
        <w:rPr>
          <w:rFonts w:eastAsia="Times New Roman" w:cs="Calibri"/>
          <w:bCs/>
          <w:color w:val="000000"/>
          <w:lang w:val="en-US"/>
        </w:rPr>
        <w:t>Centar</w:t>
      </w:r>
      <w:r w:rsidR="003718A7" w:rsidRPr="0085443D">
        <w:rPr>
          <w:rFonts w:eastAsia="Times New Roman" w:cs="Calibri"/>
          <w:bCs/>
          <w:color w:val="000000"/>
          <w:lang w:val="en-US"/>
        </w:rPr>
        <w:t xml:space="preserve"> </w:t>
      </w:r>
      <w:r w:rsidRPr="0085443D">
        <w:rPr>
          <w:rFonts w:eastAsia="Times New Roman" w:cs="Calibri"/>
          <w:bCs/>
          <w:color w:val="000000"/>
          <w:lang w:val="en-US"/>
        </w:rPr>
        <w:t>srednjih</w:t>
      </w:r>
      <w:r w:rsidR="003718A7" w:rsidRPr="0085443D">
        <w:rPr>
          <w:rFonts w:eastAsia="Times New Roman" w:cs="Calibri"/>
          <w:bCs/>
          <w:color w:val="000000"/>
          <w:lang w:val="en-US"/>
        </w:rPr>
        <w:t xml:space="preserve"> </w:t>
      </w:r>
      <w:r w:rsidRPr="0085443D">
        <w:rPr>
          <w:rFonts w:eastAsia="Times New Roman" w:cs="Calibri"/>
          <w:bCs/>
          <w:color w:val="000000"/>
          <w:lang w:val="en-US"/>
        </w:rPr>
        <w:t>škola</w:t>
      </w:r>
      <w:r w:rsidR="003718A7" w:rsidRPr="0085443D">
        <w:rPr>
          <w:rFonts w:eastAsia="Times New Roman" w:cs="Calibri"/>
          <w:bCs/>
          <w:color w:val="000000"/>
          <w:lang w:val="en-US"/>
        </w:rPr>
        <w:t xml:space="preserve"> „</w:t>
      </w:r>
      <w:r w:rsidRPr="0085443D">
        <w:rPr>
          <w:rFonts w:eastAsia="Times New Roman" w:cs="Calibri"/>
          <w:bCs/>
          <w:color w:val="000000"/>
          <w:lang w:val="en-US"/>
        </w:rPr>
        <w:t>Ivo</w:t>
      </w:r>
      <w:r w:rsidR="003718A7" w:rsidRPr="0085443D">
        <w:rPr>
          <w:rFonts w:eastAsia="Times New Roman" w:cs="Calibri"/>
          <w:bCs/>
          <w:color w:val="000000"/>
          <w:lang w:val="en-US"/>
        </w:rPr>
        <w:t xml:space="preserve"> </w:t>
      </w:r>
      <w:r w:rsidRPr="0085443D">
        <w:rPr>
          <w:rFonts w:eastAsia="Times New Roman" w:cs="Calibri"/>
          <w:bCs/>
          <w:color w:val="000000"/>
          <w:lang w:val="en-US"/>
        </w:rPr>
        <w:t>Andrić</w:t>
      </w:r>
      <w:r w:rsidR="003718A7" w:rsidRPr="0085443D">
        <w:rPr>
          <w:rFonts w:eastAsia="Times New Roman" w:cs="Calibri"/>
          <w:bCs/>
          <w:color w:val="000000"/>
          <w:lang w:val="en-US"/>
        </w:rPr>
        <w:t xml:space="preserve">“ </w:t>
      </w:r>
      <w:r w:rsidRPr="0085443D">
        <w:rPr>
          <w:rFonts w:eastAsia="Times New Roman" w:cs="Calibri"/>
          <w:bCs/>
          <w:color w:val="000000"/>
          <w:lang w:val="en-US"/>
        </w:rPr>
        <w:t>Prnjavor</w:t>
      </w:r>
      <w:r w:rsidR="003718A7" w:rsidRPr="0085443D">
        <w:rPr>
          <w:rFonts w:eastAsia="Times New Roman" w:cs="Calibri"/>
          <w:bCs/>
          <w:color w:val="000000"/>
          <w:lang w:val="en-US"/>
        </w:rPr>
        <w:t>.</w:t>
      </w:r>
    </w:p>
    <w:tbl>
      <w:tblPr>
        <w:tblStyle w:val="GridTable5Dark-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284"/>
        <w:gridCol w:w="1284"/>
        <w:gridCol w:w="1284"/>
        <w:gridCol w:w="1284"/>
      </w:tblGrid>
      <w:tr w:rsidR="00594924" w:rsidRPr="0085443D" w14:paraId="48EC9D46" w14:textId="77777777" w:rsidTr="006E6EE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left w:val="none" w:sz="0" w:space="0" w:color="auto"/>
              <w:right w:val="none" w:sz="0" w:space="0" w:color="auto"/>
            </w:tcBorders>
          </w:tcPr>
          <w:p w14:paraId="32635C15" w14:textId="77777777" w:rsidR="003718A7" w:rsidRPr="0085443D" w:rsidRDefault="007B3DED" w:rsidP="00594924">
            <w:pPr>
              <w:rPr>
                <w:rFonts w:asciiTheme="minorHAnsi" w:hAnsiTheme="minorHAnsi" w:cstheme="minorHAnsi"/>
                <w:color w:val="auto"/>
                <w:szCs w:val="24"/>
                <w:lang w:val="sr-Cyrl-BA"/>
              </w:rPr>
            </w:pPr>
            <w:r w:rsidRPr="0085443D">
              <w:rPr>
                <w:rFonts w:asciiTheme="minorHAnsi" w:hAnsiTheme="minorHAnsi" w:cstheme="minorHAnsi"/>
                <w:color w:val="auto"/>
                <w:szCs w:val="24"/>
                <w:lang w:val="sr-Cyrl-BA"/>
              </w:rPr>
              <w:t>PODRUČJE</w:t>
            </w:r>
            <w:r w:rsidR="003718A7" w:rsidRPr="0085443D">
              <w:rPr>
                <w:rFonts w:asciiTheme="minorHAnsi" w:hAnsiTheme="minorHAnsi" w:cstheme="minorHAnsi"/>
                <w:color w:val="auto"/>
                <w:szCs w:val="24"/>
                <w:lang w:val="sr-Cyrl-BA"/>
              </w:rPr>
              <w:t xml:space="preserve"> </w:t>
            </w:r>
            <w:r w:rsidRPr="0085443D">
              <w:rPr>
                <w:rFonts w:asciiTheme="minorHAnsi" w:hAnsiTheme="minorHAnsi" w:cstheme="minorHAnsi"/>
                <w:color w:val="auto"/>
                <w:szCs w:val="24"/>
                <w:lang w:val="sr-Cyrl-BA"/>
              </w:rPr>
              <w:t>OPŠTINE</w:t>
            </w:r>
            <w:r w:rsidR="003718A7" w:rsidRPr="0085443D">
              <w:rPr>
                <w:rFonts w:asciiTheme="minorHAnsi" w:hAnsiTheme="minorHAnsi" w:cstheme="minorHAnsi"/>
                <w:color w:val="auto"/>
                <w:szCs w:val="24"/>
                <w:lang w:val="sr-Cyrl-BA"/>
              </w:rPr>
              <w:t xml:space="preserve"> </w:t>
            </w:r>
            <w:r w:rsidRPr="0085443D">
              <w:rPr>
                <w:rFonts w:asciiTheme="minorHAnsi" w:hAnsiTheme="minorHAnsi" w:cstheme="minorHAnsi"/>
                <w:color w:val="auto"/>
                <w:szCs w:val="24"/>
                <w:lang w:val="sr-Cyrl-BA"/>
              </w:rPr>
              <w:t>PRNjAVOR</w:t>
            </w:r>
          </w:p>
        </w:tc>
        <w:tc>
          <w:tcPr>
            <w:tcW w:w="1284" w:type="dxa"/>
            <w:tcBorders>
              <w:top w:val="none" w:sz="0" w:space="0" w:color="auto"/>
              <w:left w:val="none" w:sz="0" w:space="0" w:color="auto"/>
              <w:right w:val="none" w:sz="0" w:space="0" w:color="auto"/>
            </w:tcBorders>
          </w:tcPr>
          <w:p w14:paraId="28D072E3" w14:textId="77777777" w:rsidR="003718A7" w:rsidRPr="0085443D" w:rsidRDefault="003718A7" w:rsidP="0059492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sr-Cyrl-BA"/>
              </w:rPr>
            </w:pPr>
            <w:r w:rsidRPr="0085443D">
              <w:rPr>
                <w:rFonts w:asciiTheme="minorHAnsi" w:hAnsiTheme="minorHAnsi" w:cstheme="minorHAnsi"/>
                <w:color w:val="auto"/>
                <w:szCs w:val="24"/>
                <w:lang w:val="sr-Cyrl-BA"/>
              </w:rPr>
              <w:t>2012/13.</w:t>
            </w:r>
          </w:p>
        </w:tc>
        <w:tc>
          <w:tcPr>
            <w:tcW w:w="1284" w:type="dxa"/>
            <w:tcBorders>
              <w:top w:val="none" w:sz="0" w:space="0" w:color="auto"/>
              <w:left w:val="none" w:sz="0" w:space="0" w:color="auto"/>
              <w:right w:val="none" w:sz="0" w:space="0" w:color="auto"/>
            </w:tcBorders>
          </w:tcPr>
          <w:p w14:paraId="5FD43F76" w14:textId="77777777" w:rsidR="003718A7" w:rsidRPr="0085443D" w:rsidRDefault="003718A7" w:rsidP="0059492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sr-Cyrl-BA"/>
              </w:rPr>
            </w:pPr>
            <w:r w:rsidRPr="0085443D">
              <w:rPr>
                <w:rFonts w:asciiTheme="minorHAnsi" w:hAnsiTheme="minorHAnsi" w:cstheme="minorHAnsi"/>
                <w:color w:val="auto"/>
                <w:szCs w:val="24"/>
                <w:lang w:val="sr-Cyrl-BA"/>
              </w:rPr>
              <w:t>2013/14.</w:t>
            </w:r>
          </w:p>
        </w:tc>
        <w:tc>
          <w:tcPr>
            <w:tcW w:w="1284" w:type="dxa"/>
            <w:tcBorders>
              <w:top w:val="none" w:sz="0" w:space="0" w:color="auto"/>
              <w:left w:val="none" w:sz="0" w:space="0" w:color="auto"/>
              <w:right w:val="none" w:sz="0" w:space="0" w:color="auto"/>
            </w:tcBorders>
          </w:tcPr>
          <w:p w14:paraId="6C937944" w14:textId="77777777" w:rsidR="003718A7" w:rsidRPr="0085443D" w:rsidRDefault="003718A7" w:rsidP="0059492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sr-Cyrl-BA"/>
              </w:rPr>
            </w:pPr>
            <w:r w:rsidRPr="0085443D">
              <w:rPr>
                <w:rFonts w:asciiTheme="minorHAnsi" w:hAnsiTheme="minorHAnsi" w:cstheme="minorHAnsi"/>
                <w:color w:val="auto"/>
                <w:szCs w:val="24"/>
                <w:lang w:val="sr-Cyrl-BA"/>
              </w:rPr>
              <w:t>2014/15.</w:t>
            </w:r>
          </w:p>
        </w:tc>
        <w:tc>
          <w:tcPr>
            <w:tcW w:w="1284" w:type="dxa"/>
            <w:tcBorders>
              <w:top w:val="none" w:sz="0" w:space="0" w:color="auto"/>
              <w:left w:val="none" w:sz="0" w:space="0" w:color="auto"/>
              <w:right w:val="none" w:sz="0" w:space="0" w:color="auto"/>
            </w:tcBorders>
          </w:tcPr>
          <w:p w14:paraId="70A01904" w14:textId="77777777" w:rsidR="003718A7" w:rsidRPr="0085443D" w:rsidRDefault="003718A7" w:rsidP="0059492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4"/>
                <w:lang w:val="sr-Cyrl-BA"/>
              </w:rPr>
            </w:pPr>
            <w:r w:rsidRPr="0085443D">
              <w:rPr>
                <w:rFonts w:asciiTheme="minorHAnsi" w:hAnsiTheme="minorHAnsi" w:cstheme="minorHAnsi"/>
                <w:color w:val="auto"/>
                <w:szCs w:val="24"/>
                <w:lang w:val="sr-Cyrl-BA"/>
              </w:rPr>
              <w:t>2015/16.</w:t>
            </w:r>
          </w:p>
        </w:tc>
      </w:tr>
      <w:tr w:rsidR="00594924" w:rsidRPr="0085443D" w14:paraId="6201FF7C" w14:textId="77777777" w:rsidTr="006E6E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tcBorders>
          </w:tcPr>
          <w:p w14:paraId="385A52C8" w14:textId="77777777" w:rsidR="003718A7" w:rsidRPr="0085443D" w:rsidRDefault="007B3DED" w:rsidP="00594924">
            <w:pPr>
              <w:rPr>
                <w:rFonts w:asciiTheme="minorHAnsi" w:hAnsiTheme="minorHAnsi" w:cstheme="minorHAnsi"/>
                <w:color w:val="auto"/>
                <w:szCs w:val="24"/>
                <w:lang w:val="sr-Cyrl-BA"/>
              </w:rPr>
            </w:pPr>
            <w:r w:rsidRPr="0085443D">
              <w:rPr>
                <w:rFonts w:asciiTheme="minorHAnsi" w:hAnsiTheme="minorHAnsi" w:cstheme="minorHAnsi"/>
                <w:color w:val="auto"/>
                <w:szCs w:val="24"/>
                <w:lang w:val="sr-Cyrl-BA"/>
              </w:rPr>
              <w:t>Broj</w:t>
            </w:r>
            <w:r w:rsidR="003718A7" w:rsidRPr="0085443D">
              <w:rPr>
                <w:rFonts w:asciiTheme="minorHAnsi" w:hAnsiTheme="minorHAnsi" w:cstheme="minorHAnsi"/>
                <w:color w:val="auto"/>
                <w:szCs w:val="24"/>
                <w:lang w:val="sr-Cyrl-BA"/>
              </w:rPr>
              <w:t xml:space="preserve"> </w:t>
            </w:r>
            <w:r w:rsidRPr="0085443D">
              <w:rPr>
                <w:rFonts w:asciiTheme="minorHAnsi" w:hAnsiTheme="minorHAnsi" w:cstheme="minorHAnsi"/>
                <w:color w:val="auto"/>
                <w:szCs w:val="24"/>
                <w:lang w:val="sr-Cyrl-BA"/>
              </w:rPr>
              <w:t>korisnika</w:t>
            </w:r>
            <w:r w:rsidR="003718A7" w:rsidRPr="0085443D">
              <w:rPr>
                <w:rFonts w:asciiTheme="minorHAnsi" w:hAnsiTheme="minorHAnsi" w:cstheme="minorHAnsi"/>
                <w:color w:val="auto"/>
                <w:szCs w:val="24"/>
                <w:lang w:val="sr-Cyrl-BA"/>
              </w:rPr>
              <w:t xml:space="preserve"> </w:t>
            </w:r>
            <w:r w:rsidRPr="0085443D">
              <w:rPr>
                <w:rFonts w:asciiTheme="minorHAnsi" w:hAnsiTheme="minorHAnsi" w:cstheme="minorHAnsi"/>
                <w:color w:val="auto"/>
                <w:szCs w:val="24"/>
                <w:lang w:val="sr-Cyrl-BA"/>
              </w:rPr>
              <w:t>predškolskog</w:t>
            </w:r>
            <w:r w:rsidR="003718A7" w:rsidRPr="0085443D">
              <w:rPr>
                <w:rFonts w:asciiTheme="minorHAnsi" w:hAnsiTheme="minorHAnsi" w:cstheme="minorHAnsi"/>
                <w:color w:val="auto"/>
                <w:szCs w:val="24"/>
                <w:lang w:val="sr-Cyrl-BA"/>
              </w:rPr>
              <w:t xml:space="preserve"> </w:t>
            </w:r>
            <w:r w:rsidRPr="0085443D">
              <w:rPr>
                <w:rFonts w:asciiTheme="minorHAnsi" w:hAnsiTheme="minorHAnsi" w:cstheme="minorHAnsi"/>
                <w:color w:val="auto"/>
                <w:szCs w:val="24"/>
                <w:lang w:val="sr-Cyrl-BA"/>
              </w:rPr>
              <w:t>obrazovanja</w:t>
            </w:r>
          </w:p>
        </w:tc>
        <w:tc>
          <w:tcPr>
            <w:tcW w:w="1284" w:type="dxa"/>
          </w:tcPr>
          <w:p w14:paraId="7C26A003" w14:textId="77777777" w:rsidR="003718A7" w:rsidRPr="0085443D" w:rsidRDefault="003718A7"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sr-Cyrl-BA"/>
              </w:rPr>
            </w:pPr>
            <w:r w:rsidRPr="0085443D">
              <w:rPr>
                <w:rFonts w:asciiTheme="minorHAnsi" w:hAnsiTheme="minorHAnsi" w:cstheme="minorHAnsi"/>
                <w:szCs w:val="24"/>
                <w:lang w:val="sr-Cyrl-BA"/>
              </w:rPr>
              <w:t>149</w:t>
            </w:r>
          </w:p>
        </w:tc>
        <w:tc>
          <w:tcPr>
            <w:tcW w:w="1284" w:type="dxa"/>
          </w:tcPr>
          <w:p w14:paraId="70D59FBA" w14:textId="77777777" w:rsidR="003718A7" w:rsidRPr="0085443D" w:rsidRDefault="003718A7"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sr-Cyrl-BA"/>
              </w:rPr>
            </w:pPr>
            <w:r w:rsidRPr="0085443D">
              <w:rPr>
                <w:rFonts w:asciiTheme="minorHAnsi" w:hAnsiTheme="minorHAnsi" w:cstheme="minorHAnsi"/>
                <w:szCs w:val="24"/>
                <w:lang w:val="sr-Cyrl-BA"/>
              </w:rPr>
              <w:t>145</w:t>
            </w:r>
          </w:p>
        </w:tc>
        <w:tc>
          <w:tcPr>
            <w:tcW w:w="1284" w:type="dxa"/>
          </w:tcPr>
          <w:p w14:paraId="4E5DA086" w14:textId="77777777" w:rsidR="003718A7" w:rsidRPr="0085443D" w:rsidRDefault="003718A7"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sr-Cyrl-BA"/>
              </w:rPr>
            </w:pPr>
            <w:r w:rsidRPr="0085443D">
              <w:rPr>
                <w:rFonts w:asciiTheme="minorHAnsi" w:hAnsiTheme="minorHAnsi" w:cstheme="minorHAnsi"/>
                <w:szCs w:val="24"/>
                <w:lang w:val="sr-Cyrl-BA"/>
              </w:rPr>
              <w:t>219</w:t>
            </w:r>
          </w:p>
        </w:tc>
        <w:tc>
          <w:tcPr>
            <w:tcW w:w="1284" w:type="dxa"/>
          </w:tcPr>
          <w:p w14:paraId="78E41B8E" w14:textId="77777777" w:rsidR="003718A7" w:rsidRPr="0085443D" w:rsidRDefault="003718A7"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sr-Cyrl-BA"/>
              </w:rPr>
            </w:pPr>
            <w:r w:rsidRPr="0085443D">
              <w:rPr>
                <w:rFonts w:asciiTheme="minorHAnsi" w:hAnsiTheme="minorHAnsi" w:cstheme="minorHAnsi"/>
                <w:szCs w:val="24"/>
                <w:lang w:val="sr-Cyrl-BA"/>
              </w:rPr>
              <w:t>293</w:t>
            </w:r>
          </w:p>
        </w:tc>
      </w:tr>
      <w:tr w:rsidR="00594924" w:rsidRPr="0085443D" w14:paraId="77B8EE5E" w14:textId="77777777" w:rsidTr="006E6EE4">
        <w:trPr>
          <w:trHeight w:val="22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tcBorders>
          </w:tcPr>
          <w:p w14:paraId="01B31D47" w14:textId="77777777" w:rsidR="003718A7" w:rsidRPr="0085443D" w:rsidRDefault="007B3DED" w:rsidP="00594924">
            <w:pPr>
              <w:rPr>
                <w:rFonts w:asciiTheme="minorHAnsi" w:hAnsiTheme="minorHAnsi" w:cstheme="minorHAnsi"/>
                <w:color w:val="auto"/>
                <w:szCs w:val="24"/>
                <w:lang w:val="sr-Cyrl-BA"/>
              </w:rPr>
            </w:pPr>
            <w:r w:rsidRPr="0085443D">
              <w:rPr>
                <w:rFonts w:asciiTheme="minorHAnsi" w:hAnsiTheme="minorHAnsi" w:cstheme="minorHAnsi"/>
                <w:color w:val="auto"/>
                <w:szCs w:val="24"/>
                <w:lang w:val="sr-Cyrl-BA"/>
              </w:rPr>
              <w:t>Broj</w:t>
            </w:r>
            <w:r w:rsidR="003718A7" w:rsidRPr="0085443D">
              <w:rPr>
                <w:rFonts w:asciiTheme="minorHAnsi" w:hAnsiTheme="minorHAnsi" w:cstheme="minorHAnsi"/>
                <w:color w:val="auto"/>
                <w:szCs w:val="24"/>
                <w:lang w:val="sr-Cyrl-BA"/>
              </w:rPr>
              <w:t xml:space="preserve"> </w:t>
            </w:r>
            <w:r w:rsidRPr="0085443D">
              <w:rPr>
                <w:rFonts w:asciiTheme="minorHAnsi" w:hAnsiTheme="minorHAnsi" w:cstheme="minorHAnsi"/>
                <w:color w:val="auto"/>
                <w:szCs w:val="24"/>
                <w:lang w:val="sr-Cyrl-BA"/>
              </w:rPr>
              <w:t>učenika</w:t>
            </w:r>
            <w:r w:rsidR="003718A7" w:rsidRPr="0085443D">
              <w:rPr>
                <w:rFonts w:asciiTheme="minorHAnsi" w:hAnsiTheme="minorHAnsi" w:cstheme="minorHAnsi"/>
                <w:color w:val="auto"/>
                <w:szCs w:val="24"/>
                <w:lang w:val="sr-Cyrl-BA"/>
              </w:rPr>
              <w:t xml:space="preserve"> </w:t>
            </w:r>
            <w:r w:rsidRPr="0085443D">
              <w:rPr>
                <w:rFonts w:asciiTheme="minorHAnsi" w:hAnsiTheme="minorHAnsi" w:cstheme="minorHAnsi"/>
                <w:color w:val="auto"/>
                <w:szCs w:val="24"/>
                <w:lang w:val="sr-Cyrl-BA"/>
              </w:rPr>
              <w:t>koji</w:t>
            </w:r>
            <w:r w:rsidR="003718A7" w:rsidRPr="0085443D">
              <w:rPr>
                <w:rFonts w:asciiTheme="minorHAnsi" w:hAnsiTheme="minorHAnsi" w:cstheme="minorHAnsi"/>
                <w:color w:val="auto"/>
                <w:szCs w:val="24"/>
                <w:lang w:val="sr-Cyrl-BA"/>
              </w:rPr>
              <w:t xml:space="preserve"> </w:t>
            </w:r>
            <w:r w:rsidRPr="0085443D">
              <w:rPr>
                <w:rFonts w:asciiTheme="minorHAnsi" w:hAnsiTheme="minorHAnsi" w:cstheme="minorHAnsi"/>
                <w:color w:val="auto"/>
                <w:szCs w:val="24"/>
                <w:lang w:val="sr-Cyrl-BA"/>
              </w:rPr>
              <w:t>pohađaju</w:t>
            </w:r>
            <w:r w:rsidR="003718A7" w:rsidRPr="0085443D">
              <w:rPr>
                <w:rFonts w:asciiTheme="minorHAnsi" w:hAnsiTheme="minorHAnsi" w:cstheme="minorHAnsi"/>
                <w:color w:val="auto"/>
                <w:szCs w:val="24"/>
                <w:lang w:val="sr-Cyrl-BA"/>
              </w:rPr>
              <w:t>/</w:t>
            </w:r>
            <w:r w:rsidRPr="0085443D">
              <w:rPr>
                <w:rFonts w:asciiTheme="minorHAnsi" w:hAnsiTheme="minorHAnsi" w:cstheme="minorHAnsi"/>
                <w:color w:val="auto"/>
                <w:szCs w:val="24"/>
                <w:lang w:val="sr-Cyrl-BA"/>
              </w:rPr>
              <w:t>li</w:t>
            </w:r>
            <w:r w:rsidR="003718A7" w:rsidRPr="0085443D">
              <w:rPr>
                <w:rFonts w:asciiTheme="minorHAnsi" w:hAnsiTheme="minorHAnsi" w:cstheme="minorHAnsi"/>
                <w:color w:val="auto"/>
                <w:szCs w:val="24"/>
                <w:lang w:val="sr-Cyrl-BA"/>
              </w:rPr>
              <w:t xml:space="preserve"> </w:t>
            </w:r>
            <w:r w:rsidRPr="0085443D">
              <w:rPr>
                <w:rFonts w:asciiTheme="minorHAnsi" w:hAnsiTheme="minorHAnsi" w:cstheme="minorHAnsi"/>
                <w:color w:val="auto"/>
                <w:szCs w:val="24"/>
                <w:lang w:val="sr-Cyrl-BA"/>
              </w:rPr>
              <w:t>osnovne</w:t>
            </w:r>
            <w:r w:rsidR="003718A7" w:rsidRPr="0085443D">
              <w:rPr>
                <w:rFonts w:asciiTheme="minorHAnsi" w:hAnsiTheme="minorHAnsi" w:cstheme="minorHAnsi"/>
                <w:color w:val="auto"/>
                <w:szCs w:val="24"/>
                <w:lang w:val="sr-Cyrl-BA"/>
              </w:rPr>
              <w:t xml:space="preserve"> </w:t>
            </w:r>
            <w:r w:rsidRPr="0085443D">
              <w:rPr>
                <w:rFonts w:asciiTheme="minorHAnsi" w:hAnsiTheme="minorHAnsi" w:cstheme="minorHAnsi"/>
                <w:color w:val="auto"/>
                <w:szCs w:val="24"/>
                <w:lang w:val="sr-Cyrl-BA"/>
              </w:rPr>
              <w:t>škole</w:t>
            </w:r>
            <w:r w:rsidR="003718A7" w:rsidRPr="0085443D">
              <w:rPr>
                <w:rFonts w:asciiTheme="minorHAnsi" w:hAnsiTheme="minorHAnsi" w:cstheme="minorHAnsi"/>
                <w:color w:val="auto"/>
                <w:szCs w:val="24"/>
                <w:lang w:val="sr-Cyrl-BA"/>
              </w:rPr>
              <w:t xml:space="preserve"> </w:t>
            </w:r>
          </w:p>
        </w:tc>
        <w:tc>
          <w:tcPr>
            <w:tcW w:w="1284" w:type="dxa"/>
          </w:tcPr>
          <w:p w14:paraId="4F76EF7B" w14:textId="77777777" w:rsidR="003718A7" w:rsidRPr="0085443D" w:rsidRDefault="003718A7"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sr-Cyrl-BA"/>
              </w:rPr>
            </w:pPr>
            <w:r w:rsidRPr="0085443D">
              <w:rPr>
                <w:rFonts w:asciiTheme="minorHAnsi" w:hAnsiTheme="minorHAnsi" w:cstheme="minorHAnsi"/>
                <w:szCs w:val="24"/>
                <w:lang w:val="sr-Cyrl-BA"/>
              </w:rPr>
              <w:t>3</w:t>
            </w:r>
            <w:r w:rsidR="006E6EE4" w:rsidRPr="0085443D">
              <w:rPr>
                <w:rFonts w:asciiTheme="minorHAnsi" w:hAnsiTheme="minorHAnsi" w:cstheme="minorHAnsi"/>
                <w:szCs w:val="24"/>
              </w:rPr>
              <w:t>.</w:t>
            </w:r>
            <w:r w:rsidRPr="0085443D">
              <w:rPr>
                <w:rFonts w:asciiTheme="minorHAnsi" w:hAnsiTheme="minorHAnsi" w:cstheme="minorHAnsi"/>
                <w:szCs w:val="24"/>
                <w:lang w:val="sr-Cyrl-BA"/>
              </w:rPr>
              <w:t>336</w:t>
            </w:r>
          </w:p>
        </w:tc>
        <w:tc>
          <w:tcPr>
            <w:tcW w:w="1284" w:type="dxa"/>
          </w:tcPr>
          <w:p w14:paraId="20CE0E7D" w14:textId="77777777" w:rsidR="003718A7" w:rsidRPr="0085443D" w:rsidRDefault="003718A7"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sr-Cyrl-BA"/>
              </w:rPr>
            </w:pPr>
            <w:r w:rsidRPr="0085443D">
              <w:rPr>
                <w:rFonts w:asciiTheme="minorHAnsi" w:hAnsiTheme="minorHAnsi" w:cstheme="minorHAnsi"/>
                <w:szCs w:val="24"/>
                <w:lang w:val="sr-Cyrl-BA"/>
              </w:rPr>
              <w:t>3</w:t>
            </w:r>
            <w:r w:rsidR="006E6EE4" w:rsidRPr="0085443D">
              <w:rPr>
                <w:rFonts w:asciiTheme="minorHAnsi" w:hAnsiTheme="minorHAnsi" w:cstheme="minorHAnsi"/>
                <w:szCs w:val="24"/>
              </w:rPr>
              <w:t>.</w:t>
            </w:r>
            <w:r w:rsidRPr="0085443D">
              <w:rPr>
                <w:rFonts w:asciiTheme="minorHAnsi" w:hAnsiTheme="minorHAnsi" w:cstheme="minorHAnsi"/>
                <w:szCs w:val="24"/>
                <w:lang w:val="sr-Cyrl-BA"/>
              </w:rPr>
              <w:t>205</w:t>
            </w:r>
          </w:p>
        </w:tc>
        <w:tc>
          <w:tcPr>
            <w:tcW w:w="1284" w:type="dxa"/>
          </w:tcPr>
          <w:p w14:paraId="1C0EA2DC" w14:textId="77777777" w:rsidR="003718A7" w:rsidRPr="0085443D" w:rsidRDefault="003718A7"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sr-Cyrl-BA"/>
              </w:rPr>
            </w:pPr>
            <w:r w:rsidRPr="0085443D">
              <w:rPr>
                <w:rFonts w:asciiTheme="minorHAnsi" w:hAnsiTheme="minorHAnsi" w:cstheme="minorHAnsi"/>
                <w:szCs w:val="24"/>
                <w:lang w:val="sr-Cyrl-BA"/>
              </w:rPr>
              <w:t>3</w:t>
            </w:r>
            <w:r w:rsidR="006E6EE4" w:rsidRPr="0085443D">
              <w:rPr>
                <w:rFonts w:asciiTheme="minorHAnsi" w:hAnsiTheme="minorHAnsi" w:cstheme="minorHAnsi"/>
                <w:szCs w:val="24"/>
              </w:rPr>
              <w:t>.</w:t>
            </w:r>
            <w:r w:rsidRPr="0085443D">
              <w:rPr>
                <w:rFonts w:asciiTheme="minorHAnsi" w:hAnsiTheme="minorHAnsi" w:cstheme="minorHAnsi"/>
                <w:szCs w:val="24"/>
                <w:lang w:val="sr-Cyrl-BA"/>
              </w:rPr>
              <w:t>132</w:t>
            </w:r>
          </w:p>
        </w:tc>
        <w:tc>
          <w:tcPr>
            <w:tcW w:w="1284" w:type="dxa"/>
          </w:tcPr>
          <w:p w14:paraId="788A9667" w14:textId="77777777" w:rsidR="003718A7" w:rsidRPr="0085443D" w:rsidRDefault="003718A7" w:rsidP="006E6E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sr-Cyrl-BA"/>
              </w:rPr>
            </w:pPr>
            <w:r w:rsidRPr="0085443D">
              <w:rPr>
                <w:rFonts w:asciiTheme="minorHAnsi" w:hAnsiTheme="minorHAnsi" w:cstheme="minorHAnsi"/>
                <w:szCs w:val="24"/>
                <w:lang w:val="sr-Cyrl-BA"/>
              </w:rPr>
              <w:t>3</w:t>
            </w:r>
            <w:r w:rsidR="006E6EE4" w:rsidRPr="0085443D">
              <w:rPr>
                <w:rFonts w:asciiTheme="minorHAnsi" w:hAnsiTheme="minorHAnsi" w:cstheme="minorHAnsi"/>
                <w:szCs w:val="24"/>
              </w:rPr>
              <w:t>.</w:t>
            </w:r>
            <w:r w:rsidRPr="0085443D">
              <w:rPr>
                <w:rFonts w:asciiTheme="minorHAnsi" w:hAnsiTheme="minorHAnsi" w:cstheme="minorHAnsi"/>
                <w:szCs w:val="24"/>
                <w:lang w:val="sr-Cyrl-BA"/>
              </w:rPr>
              <w:t>026</w:t>
            </w:r>
          </w:p>
        </w:tc>
      </w:tr>
      <w:tr w:rsidR="00594924" w:rsidRPr="0085443D" w14:paraId="63650897" w14:textId="77777777" w:rsidTr="006E6EE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bottom w:val="none" w:sz="0" w:space="0" w:color="auto"/>
            </w:tcBorders>
          </w:tcPr>
          <w:p w14:paraId="0C9D7D38" w14:textId="77777777" w:rsidR="003718A7" w:rsidRPr="0085443D" w:rsidRDefault="007B3DED" w:rsidP="00594924">
            <w:pPr>
              <w:rPr>
                <w:rFonts w:asciiTheme="minorHAnsi" w:hAnsiTheme="minorHAnsi" w:cstheme="minorHAnsi"/>
                <w:color w:val="auto"/>
                <w:szCs w:val="24"/>
                <w:lang w:val="sr-Cyrl-BA"/>
              </w:rPr>
            </w:pPr>
            <w:r w:rsidRPr="0085443D">
              <w:rPr>
                <w:rFonts w:asciiTheme="minorHAnsi" w:hAnsiTheme="minorHAnsi" w:cstheme="minorHAnsi"/>
                <w:color w:val="auto"/>
                <w:szCs w:val="24"/>
                <w:lang w:val="sr-Cyrl-BA"/>
              </w:rPr>
              <w:t>Broj</w:t>
            </w:r>
            <w:r w:rsidR="003718A7" w:rsidRPr="0085443D">
              <w:rPr>
                <w:rFonts w:asciiTheme="minorHAnsi" w:hAnsiTheme="minorHAnsi" w:cstheme="minorHAnsi"/>
                <w:color w:val="auto"/>
                <w:szCs w:val="24"/>
                <w:lang w:val="sr-Cyrl-BA"/>
              </w:rPr>
              <w:t xml:space="preserve"> </w:t>
            </w:r>
            <w:r w:rsidRPr="0085443D">
              <w:rPr>
                <w:rFonts w:asciiTheme="minorHAnsi" w:hAnsiTheme="minorHAnsi" w:cstheme="minorHAnsi"/>
                <w:color w:val="auto"/>
                <w:szCs w:val="24"/>
                <w:lang w:val="sr-Cyrl-BA"/>
              </w:rPr>
              <w:t>učenika</w:t>
            </w:r>
            <w:r w:rsidR="003718A7" w:rsidRPr="0085443D">
              <w:rPr>
                <w:rFonts w:asciiTheme="minorHAnsi" w:hAnsiTheme="minorHAnsi" w:cstheme="minorHAnsi"/>
                <w:color w:val="auto"/>
                <w:szCs w:val="24"/>
                <w:lang w:val="sr-Cyrl-BA"/>
              </w:rPr>
              <w:t xml:space="preserve"> </w:t>
            </w:r>
            <w:r w:rsidRPr="0085443D">
              <w:rPr>
                <w:rFonts w:asciiTheme="minorHAnsi" w:hAnsiTheme="minorHAnsi" w:cstheme="minorHAnsi"/>
                <w:color w:val="auto"/>
                <w:szCs w:val="24"/>
                <w:lang w:val="sr-Cyrl-BA"/>
              </w:rPr>
              <w:t>koji</w:t>
            </w:r>
            <w:r w:rsidR="003718A7" w:rsidRPr="0085443D">
              <w:rPr>
                <w:rFonts w:asciiTheme="minorHAnsi" w:hAnsiTheme="minorHAnsi" w:cstheme="minorHAnsi"/>
                <w:color w:val="auto"/>
                <w:szCs w:val="24"/>
                <w:lang w:val="sr-Cyrl-BA"/>
              </w:rPr>
              <w:t xml:space="preserve"> </w:t>
            </w:r>
            <w:r w:rsidRPr="0085443D">
              <w:rPr>
                <w:rFonts w:asciiTheme="minorHAnsi" w:hAnsiTheme="minorHAnsi" w:cstheme="minorHAnsi"/>
                <w:color w:val="auto"/>
                <w:szCs w:val="24"/>
                <w:lang w:val="sr-Cyrl-BA"/>
              </w:rPr>
              <w:t>pohađaju</w:t>
            </w:r>
            <w:r w:rsidR="003718A7" w:rsidRPr="0085443D">
              <w:rPr>
                <w:rFonts w:asciiTheme="minorHAnsi" w:hAnsiTheme="minorHAnsi" w:cstheme="minorHAnsi"/>
                <w:color w:val="auto"/>
                <w:szCs w:val="24"/>
                <w:lang w:val="sr-Cyrl-BA"/>
              </w:rPr>
              <w:t>/</w:t>
            </w:r>
            <w:r w:rsidRPr="0085443D">
              <w:rPr>
                <w:rFonts w:asciiTheme="minorHAnsi" w:hAnsiTheme="minorHAnsi" w:cstheme="minorHAnsi"/>
                <w:color w:val="auto"/>
                <w:szCs w:val="24"/>
                <w:lang w:val="sr-Cyrl-BA"/>
              </w:rPr>
              <w:t>li</w:t>
            </w:r>
            <w:r w:rsidR="003718A7" w:rsidRPr="0085443D">
              <w:rPr>
                <w:rFonts w:asciiTheme="minorHAnsi" w:hAnsiTheme="minorHAnsi" w:cstheme="minorHAnsi"/>
                <w:color w:val="auto"/>
                <w:szCs w:val="24"/>
                <w:lang w:val="sr-Cyrl-BA"/>
              </w:rPr>
              <w:t xml:space="preserve"> </w:t>
            </w:r>
            <w:r w:rsidRPr="0085443D">
              <w:rPr>
                <w:rFonts w:asciiTheme="minorHAnsi" w:hAnsiTheme="minorHAnsi" w:cstheme="minorHAnsi"/>
                <w:color w:val="auto"/>
                <w:szCs w:val="24"/>
                <w:lang w:val="sr-Cyrl-BA"/>
              </w:rPr>
              <w:t>srednje</w:t>
            </w:r>
            <w:r w:rsidR="003718A7" w:rsidRPr="0085443D">
              <w:rPr>
                <w:rFonts w:asciiTheme="minorHAnsi" w:hAnsiTheme="minorHAnsi" w:cstheme="minorHAnsi"/>
                <w:color w:val="auto"/>
                <w:szCs w:val="24"/>
                <w:lang w:val="sr-Cyrl-BA"/>
              </w:rPr>
              <w:t xml:space="preserve"> </w:t>
            </w:r>
            <w:r w:rsidRPr="0085443D">
              <w:rPr>
                <w:rFonts w:asciiTheme="minorHAnsi" w:hAnsiTheme="minorHAnsi" w:cstheme="minorHAnsi"/>
                <w:color w:val="auto"/>
                <w:szCs w:val="24"/>
                <w:lang w:val="sr-Cyrl-BA"/>
              </w:rPr>
              <w:t>škole</w:t>
            </w:r>
          </w:p>
        </w:tc>
        <w:tc>
          <w:tcPr>
            <w:tcW w:w="1284" w:type="dxa"/>
          </w:tcPr>
          <w:p w14:paraId="10D98492" w14:textId="77777777" w:rsidR="003718A7" w:rsidRPr="0085443D" w:rsidRDefault="003718A7"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sr-Cyrl-BA"/>
              </w:rPr>
            </w:pPr>
            <w:r w:rsidRPr="0085443D">
              <w:rPr>
                <w:rFonts w:asciiTheme="minorHAnsi" w:hAnsiTheme="minorHAnsi" w:cstheme="minorHAnsi"/>
                <w:szCs w:val="24"/>
                <w:lang w:val="sr-Cyrl-BA"/>
              </w:rPr>
              <w:t>1</w:t>
            </w:r>
            <w:r w:rsidR="006E6EE4" w:rsidRPr="0085443D">
              <w:rPr>
                <w:rFonts w:asciiTheme="minorHAnsi" w:hAnsiTheme="minorHAnsi" w:cstheme="minorHAnsi"/>
                <w:szCs w:val="24"/>
              </w:rPr>
              <w:t>.</w:t>
            </w:r>
            <w:r w:rsidRPr="0085443D">
              <w:rPr>
                <w:rFonts w:asciiTheme="minorHAnsi" w:hAnsiTheme="minorHAnsi" w:cstheme="minorHAnsi"/>
                <w:szCs w:val="24"/>
                <w:lang w:val="sr-Cyrl-BA"/>
              </w:rPr>
              <w:t>422</w:t>
            </w:r>
          </w:p>
        </w:tc>
        <w:tc>
          <w:tcPr>
            <w:tcW w:w="1284" w:type="dxa"/>
          </w:tcPr>
          <w:p w14:paraId="03BF8380" w14:textId="77777777" w:rsidR="003718A7" w:rsidRPr="0085443D" w:rsidRDefault="003718A7"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sr-Cyrl-BA"/>
              </w:rPr>
            </w:pPr>
            <w:r w:rsidRPr="0085443D">
              <w:rPr>
                <w:rFonts w:asciiTheme="minorHAnsi" w:hAnsiTheme="minorHAnsi" w:cstheme="minorHAnsi"/>
                <w:szCs w:val="24"/>
                <w:lang w:val="sr-Cyrl-BA"/>
              </w:rPr>
              <w:t>1</w:t>
            </w:r>
            <w:r w:rsidR="006E6EE4" w:rsidRPr="0085443D">
              <w:rPr>
                <w:rFonts w:asciiTheme="minorHAnsi" w:hAnsiTheme="minorHAnsi" w:cstheme="minorHAnsi"/>
                <w:szCs w:val="24"/>
              </w:rPr>
              <w:t>.</w:t>
            </w:r>
            <w:r w:rsidRPr="0085443D">
              <w:rPr>
                <w:rFonts w:asciiTheme="minorHAnsi" w:hAnsiTheme="minorHAnsi" w:cstheme="minorHAnsi"/>
                <w:szCs w:val="24"/>
                <w:lang w:val="sr-Cyrl-BA"/>
              </w:rPr>
              <w:t>417</w:t>
            </w:r>
          </w:p>
        </w:tc>
        <w:tc>
          <w:tcPr>
            <w:tcW w:w="1284" w:type="dxa"/>
          </w:tcPr>
          <w:p w14:paraId="65246A4A" w14:textId="77777777" w:rsidR="003718A7" w:rsidRPr="0085443D" w:rsidRDefault="003718A7"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sr-Cyrl-BA"/>
              </w:rPr>
            </w:pPr>
            <w:r w:rsidRPr="0085443D">
              <w:rPr>
                <w:rFonts w:asciiTheme="minorHAnsi" w:hAnsiTheme="minorHAnsi" w:cstheme="minorHAnsi"/>
                <w:szCs w:val="24"/>
                <w:lang w:val="sr-Cyrl-BA"/>
              </w:rPr>
              <w:t>1</w:t>
            </w:r>
            <w:r w:rsidR="006E6EE4" w:rsidRPr="0085443D">
              <w:rPr>
                <w:rFonts w:asciiTheme="minorHAnsi" w:hAnsiTheme="minorHAnsi" w:cstheme="minorHAnsi"/>
                <w:szCs w:val="24"/>
              </w:rPr>
              <w:t>.</w:t>
            </w:r>
            <w:r w:rsidRPr="0085443D">
              <w:rPr>
                <w:rFonts w:asciiTheme="minorHAnsi" w:hAnsiTheme="minorHAnsi" w:cstheme="minorHAnsi"/>
                <w:szCs w:val="24"/>
                <w:lang w:val="sr-Cyrl-BA"/>
              </w:rPr>
              <w:t>302</w:t>
            </w:r>
          </w:p>
        </w:tc>
        <w:tc>
          <w:tcPr>
            <w:tcW w:w="1284" w:type="dxa"/>
          </w:tcPr>
          <w:p w14:paraId="410E79D7" w14:textId="77777777" w:rsidR="003718A7" w:rsidRPr="0085443D" w:rsidRDefault="003718A7" w:rsidP="006E6E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sr-Cyrl-BA"/>
              </w:rPr>
            </w:pPr>
            <w:r w:rsidRPr="0085443D">
              <w:rPr>
                <w:rFonts w:asciiTheme="minorHAnsi" w:hAnsiTheme="minorHAnsi" w:cstheme="minorHAnsi"/>
                <w:szCs w:val="24"/>
                <w:lang w:val="sr-Cyrl-BA"/>
              </w:rPr>
              <w:t>1</w:t>
            </w:r>
            <w:r w:rsidR="006E6EE4" w:rsidRPr="0085443D">
              <w:rPr>
                <w:rFonts w:asciiTheme="minorHAnsi" w:hAnsiTheme="minorHAnsi" w:cstheme="minorHAnsi"/>
                <w:szCs w:val="24"/>
              </w:rPr>
              <w:t>.</w:t>
            </w:r>
            <w:r w:rsidRPr="0085443D">
              <w:rPr>
                <w:rFonts w:asciiTheme="minorHAnsi" w:hAnsiTheme="minorHAnsi" w:cstheme="minorHAnsi"/>
                <w:szCs w:val="24"/>
                <w:lang w:val="sr-Cyrl-BA"/>
              </w:rPr>
              <w:t>249</w:t>
            </w:r>
          </w:p>
        </w:tc>
      </w:tr>
    </w:tbl>
    <w:p w14:paraId="360780BE" w14:textId="77777777" w:rsidR="007E38B8" w:rsidRPr="0085443D" w:rsidRDefault="0095623A" w:rsidP="007D60C7">
      <w:pPr>
        <w:spacing w:after="80"/>
        <w:jc w:val="both"/>
      </w:pPr>
      <w:r w:rsidRPr="0085443D">
        <w:rPr>
          <w:lang w:val="hr-BA"/>
        </w:rPr>
        <w:t>Značajno unapređenje vidljivo je u razvoju obrazovne infrastrukture – izgrađeni su ili obnovljeni objekti jedne osnovne škole, srednje škole, muzičke škole i vrtića. U oblasti predškolskog obrazo</w:t>
      </w:r>
      <w:r w:rsidR="006E6EE4" w:rsidRPr="0085443D">
        <w:rPr>
          <w:lang w:val="hr-BA"/>
        </w:rPr>
        <w:t>vanja, 2016. godine po prvi put</w:t>
      </w:r>
      <w:r w:rsidRPr="0085443D">
        <w:rPr>
          <w:lang w:val="hr-BA"/>
        </w:rPr>
        <w:t xml:space="preserve"> su obezbijeđeni dovoljni kapaciteti za upis sve zainteresovane djece u vrtiće u urbanom području. </w:t>
      </w:r>
      <w:r w:rsidR="007D60C7" w:rsidRPr="0085443D">
        <w:rPr>
          <w:rFonts w:cs="Arial"/>
          <w:lang w:val="hr-HR"/>
        </w:rPr>
        <w:t xml:space="preserve">U segmentu usklađivanja kadrovske strukture sa potrebama privrede, </w:t>
      </w:r>
      <w:r w:rsidR="007D60C7" w:rsidRPr="0085443D">
        <w:t>Opština je u saradnji sa Srednjom školom Prnjavor i tvornicom namještaja „Standard“ uspjela uvesti 2 nova obrazovna profila u Srednju školu (tehničar obrade drveta i stolar).</w:t>
      </w:r>
      <w:r w:rsidR="007D60C7" w:rsidRPr="0085443D">
        <w:rPr>
          <w:rStyle w:val="FootnoteReference"/>
        </w:rPr>
        <w:footnoteReference w:id="11"/>
      </w:r>
      <w:r w:rsidR="007E38B8" w:rsidRPr="0085443D">
        <w:t xml:space="preserve"> U narednom periodu je potrebno nastaviti jačanje saradnje privrede i obrazovnih institucija kako bi se unaprijedili mehanizmi usklađivanja ponude i tražnje za radnom snagom. </w:t>
      </w:r>
    </w:p>
    <w:p w14:paraId="58E2C47A" w14:textId="77777777" w:rsidR="00A12CBC" w:rsidRPr="0085443D" w:rsidRDefault="00A12CBC" w:rsidP="003B497A">
      <w:pPr>
        <w:spacing w:after="80"/>
        <w:rPr>
          <w:lang w:val="hr-HR"/>
        </w:rPr>
      </w:pPr>
    </w:p>
    <w:p w14:paraId="0E9852CA" w14:textId="77777777" w:rsidR="003B497A" w:rsidRPr="0085443D" w:rsidRDefault="003B497A" w:rsidP="003B497A">
      <w:pPr>
        <w:spacing w:after="80"/>
        <w:rPr>
          <w:b/>
          <w:i/>
          <w:lang w:val="hr-HR"/>
        </w:rPr>
      </w:pPr>
      <w:r w:rsidRPr="0085443D">
        <w:rPr>
          <w:b/>
          <w:i/>
          <w:lang w:val="hr-HR"/>
        </w:rPr>
        <w:t>Kultura i sport</w:t>
      </w:r>
    </w:p>
    <w:p w14:paraId="30EBF96A" w14:textId="02664725" w:rsidR="00DF24AE" w:rsidRPr="0085443D" w:rsidRDefault="00D37049" w:rsidP="003754F5">
      <w:pPr>
        <w:jc w:val="both"/>
      </w:pPr>
      <w:r>
        <w:t>B</w:t>
      </w:r>
      <w:r w:rsidR="007B3DED" w:rsidRPr="0085443D">
        <w:t>roj</w:t>
      </w:r>
      <w:r w:rsidR="00DF24AE" w:rsidRPr="0085443D">
        <w:t xml:space="preserve"> </w:t>
      </w:r>
      <w:r w:rsidR="001E629F" w:rsidRPr="0085443D">
        <w:t xml:space="preserve">aktivnih </w:t>
      </w:r>
      <w:r w:rsidR="007B3DED" w:rsidRPr="0085443D">
        <w:t>sportskih</w:t>
      </w:r>
      <w:r w:rsidR="00DF24AE" w:rsidRPr="0085443D">
        <w:t xml:space="preserve"> </w:t>
      </w:r>
      <w:r w:rsidR="007B3DED" w:rsidRPr="0085443D">
        <w:t>udruženja</w:t>
      </w:r>
      <w:r w:rsidR="00594924" w:rsidRPr="0085443D">
        <w:t xml:space="preserve"> je</w:t>
      </w:r>
      <w:r w:rsidR="00DF24AE" w:rsidRPr="0085443D">
        <w:t xml:space="preserve"> </w:t>
      </w:r>
      <w:r w:rsidR="00630523" w:rsidRPr="00630523">
        <w:rPr>
          <w:highlight w:val="cyan"/>
        </w:rPr>
        <w:t>30</w:t>
      </w:r>
      <w:r w:rsidR="00594924" w:rsidRPr="0085443D">
        <w:t xml:space="preserve">, </w:t>
      </w:r>
      <w:r w:rsidR="009D5B1A">
        <w:t xml:space="preserve">što pored Sportskog saveza opštine Prnjavor uključuje osam organizacija koje se bave fudbalom, </w:t>
      </w:r>
      <w:r w:rsidR="00630523" w:rsidRPr="00630523">
        <w:rPr>
          <w:highlight w:val="cyan"/>
        </w:rPr>
        <w:t>osam borilačkim vještinama, dvije košarkom, dvije atletikom, te ostale sportske</w:t>
      </w:r>
      <w:r w:rsidR="00630523">
        <w:rPr>
          <w:highlight w:val="cyan"/>
        </w:rPr>
        <w:t xml:space="preserve"> </w:t>
      </w:r>
      <w:r w:rsidR="00630523" w:rsidRPr="00630523">
        <w:rPr>
          <w:highlight w:val="cyan"/>
        </w:rPr>
        <w:t>organizacije koje se bave</w:t>
      </w:r>
      <w:r w:rsidR="00630523">
        <w:rPr>
          <w:highlight w:val="cyan"/>
        </w:rPr>
        <w:t xml:space="preserve"> </w:t>
      </w:r>
      <w:r w:rsidR="00630523" w:rsidRPr="00630523">
        <w:rPr>
          <w:highlight w:val="cyan"/>
        </w:rPr>
        <w:t>rukometom, odbojkom, tenisom, stonim tenisom, šahom i ribolovom, kao i Udruženje fudbalskih sudija i instruktora opštinskog fudbalskog saveza Prnjavor</w:t>
      </w:r>
      <w:r w:rsidR="009D5B1A">
        <w:t>. U</w:t>
      </w:r>
      <w:r w:rsidR="00594924" w:rsidRPr="0085443D">
        <w:t xml:space="preserve">kupan broj članova </w:t>
      </w:r>
      <w:r w:rsidR="00630523">
        <w:t xml:space="preserve">je </w:t>
      </w:r>
      <w:r w:rsidR="00594924" w:rsidRPr="0085443D">
        <w:t xml:space="preserve">1.931, </w:t>
      </w:r>
      <w:r w:rsidR="00594924" w:rsidRPr="003754F5">
        <w:rPr>
          <w:highlight w:val="cyan"/>
        </w:rPr>
        <w:t>a sportskih</w:t>
      </w:r>
      <w:r w:rsidR="00DF24AE" w:rsidRPr="003754F5">
        <w:rPr>
          <w:highlight w:val="cyan"/>
        </w:rPr>
        <w:t xml:space="preserve"> </w:t>
      </w:r>
      <w:r w:rsidR="007B3DED" w:rsidRPr="003754F5">
        <w:rPr>
          <w:highlight w:val="cyan"/>
        </w:rPr>
        <w:t>manifestacija</w:t>
      </w:r>
      <w:r w:rsidR="00DF24AE" w:rsidRPr="003754F5">
        <w:rPr>
          <w:highlight w:val="cyan"/>
        </w:rPr>
        <w:t xml:space="preserve"> 1</w:t>
      </w:r>
      <w:r w:rsidR="003754F5" w:rsidRPr="003754F5">
        <w:rPr>
          <w:highlight w:val="cyan"/>
        </w:rPr>
        <w:t>6</w:t>
      </w:r>
      <w:r w:rsidR="009D5B1A" w:rsidRPr="003754F5">
        <w:rPr>
          <w:highlight w:val="cyan"/>
        </w:rPr>
        <w:t>,</w:t>
      </w:r>
      <w:r w:rsidR="003754F5" w:rsidRPr="003754F5">
        <w:rPr>
          <w:highlight w:val="cyan"/>
        </w:rPr>
        <w:t xml:space="preserve"> </w:t>
      </w:r>
      <w:r w:rsidR="009D5B1A" w:rsidRPr="003754F5">
        <w:rPr>
          <w:highlight w:val="cyan"/>
        </w:rPr>
        <w:t xml:space="preserve">što može smatrati </w:t>
      </w:r>
      <w:r w:rsidR="003754F5" w:rsidRPr="003754F5">
        <w:rPr>
          <w:highlight w:val="cyan"/>
        </w:rPr>
        <w:t>zadovoljavajućim</w:t>
      </w:r>
      <w:r w:rsidR="009D5B1A" w:rsidRPr="003754F5">
        <w:rPr>
          <w:highlight w:val="cyan"/>
        </w:rPr>
        <w:t xml:space="preserve"> stanj</w:t>
      </w:r>
      <w:r w:rsidR="003754F5" w:rsidRPr="003754F5">
        <w:rPr>
          <w:highlight w:val="cyan"/>
        </w:rPr>
        <w:t>em</w:t>
      </w:r>
      <w:r w:rsidR="009D5B1A" w:rsidRPr="003754F5">
        <w:rPr>
          <w:highlight w:val="cyan"/>
        </w:rPr>
        <w:t xml:space="preserve"> sporta u lokalnoj zajednici.</w:t>
      </w:r>
    </w:p>
    <w:p w14:paraId="67CC26A1" w14:textId="77777777" w:rsidR="001B5BBF" w:rsidRDefault="001B5BBF" w:rsidP="00D5582C">
      <w:pPr>
        <w:jc w:val="both"/>
      </w:pPr>
      <w:r w:rsidRPr="0085443D">
        <w:lastRenderedPageBreak/>
        <w:t>U proteklom periodu, rekonstruisana su 3 društvena doma i opremljeno je ukupno 8 igrališta.</w:t>
      </w:r>
      <w:r w:rsidR="00D5582C" w:rsidRPr="0085443D">
        <w:t xml:space="preserve"> </w:t>
      </w:r>
      <w:r w:rsidR="00D5582C" w:rsidRPr="0085443D">
        <w:rPr>
          <w:lang w:val="hr-BA"/>
        </w:rPr>
        <w:t xml:space="preserve">Unapređenje društvene infrastrukture u oblasti sporta i kulture vidljivo je u značajnom povećanju broja </w:t>
      </w:r>
      <w:r w:rsidR="00D5582C" w:rsidRPr="0085443D">
        <w:rPr>
          <w:rFonts w:cs="Arial"/>
          <w:lang w:val="hr-HR"/>
        </w:rPr>
        <w:t>aktivnih članova u</w:t>
      </w:r>
      <w:r w:rsidR="00492276" w:rsidRPr="0085443D">
        <w:rPr>
          <w:rFonts w:cs="Arial"/>
          <w:lang w:val="hr-HR"/>
        </w:rPr>
        <w:t xml:space="preserve"> ob</w:t>
      </w:r>
      <w:r w:rsidR="00D5582C" w:rsidRPr="0085443D">
        <w:rPr>
          <w:rFonts w:cs="Arial"/>
          <w:lang w:val="hr-HR"/>
        </w:rPr>
        <w:t xml:space="preserve">e oblasti – u institucijama sporta (320 članova 2015.) i institucijama kulture (430 članova 2015., što je 2 puta više </w:t>
      </w:r>
      <w:r w:rsidR="00D5582C" w:rsidRPr="0085443D">
        <w:rPr>
          <w:lang w:val="hr-BA"/>
        </w:rPr>
        <w:t>od broja 2010. godine). Broj posjetilaca kulturnih manifestacija porastao je sa 2</w:t>
      </w:r>
      <w:r w:rsidR="00492276" w:rsidRPr="0085443D">
        <w:rPr>
          <w:lang w:val="hr-BA"/>
        </w:rPr>
        <w:t>.</w:t>
      </w:r>
      <w:r w:rsidR="00D5582C" w:rsidRPr="0085443D">
        <w:rPr>
          <w:lang w:val="hr-BA"/>
        </w:rPr>
        <w:t>225 (2013.) na 3</w:t>
      </w:r>
      <w:r w:rsidR="00492276" w:rsidRPr="0085443D">
        <w:rPr>
          <w:lang w:val="hr-BA"/>
        </w:rPr>
        <w:t>.</w:t>
      </w:r>
      <w:r w:rsidR="00D5582C" w:rsidRPr="0085443D">
        <w:rPr>
          <w:lang w:val="hr-BA"/>
        </w:rPr>
        <w:t xml:space="preserve">632 (2014.). </w:t>
      </w:r>
      <w:r w:rsidRPr="0085443D">
        <w:rPr>
          <w:rStyle w:val="FootnoteReference"/>
        </w:rPr>
        <w:footnoteReference w:id="12"/>
      </w:r>
      <w:r w:rsidRPr="0085443D">
        <w:t xml:space="preserve"> </w:t>
      </w:r>
    </w:p>
    <w:p w14:paraId="1DF2E780" w14:textId="7638C972" w:rsidR="009D5B1A" w:rsidRDefault="009D5B1A" w:rsidP="00D5582C">
      <w:pPr>
        <w:jc w:val="both"/>
      </w:pPr>
      <w:r w:rsidRPr="00BF1511">
        <w:rPr>
          <w:highlight w:val="cyan"/>
        </w:rPr>
        <w:t>Kada je riječ o dovoljnosti i kvalitetu orga</w:t>
      </w:r>
      <w:r w:rsidR="00BF1511" w:rsidRPr="00BF1511">
        <w:rPr>
          <w:highlight w:val="cyan"/>
        </w:rPr>
        <w:t>nizov</w:t>
      </w:r>
      <w:r w:rsidRPr="00BF1511">
        <w:rPr>
          <w:highlight w:val="cyan"/>
        </w:rPr>
        <w:t xml:space="preserve">anih sadržaja u oblasti kulture i sporta, podaci o broju održanih kulturnih ili sportskih manifestacija </w:t>
      </w:r>
      <w:r w:rsidR="00BF1511" w:rsidRPr="00BF1511">
        <w:rPr>
          <w:highlight w:val="cyan"/>
        </w:rPr>
        <w:t>pokazuju zadovoljavajuće stanje. Ipak, u narednom periodu je potrebno dalje unapređenje infrastrukture u oblasti kulture i sporta, to jest potrebno je unaprijediti uslove za organizaciju manifestacija (prostor i oprema), te unaprijediti uslove za bavljenje rekreativnim aktivnostima uređenjem sportskih terena za vježbanje na otvorenom</w:t>
      </w:r>
      <w:r w:rsidRPr="00BF1511">
        <w:rPr>
          <w:highlight w:val="cyan"/>
        </w:rPr>
        <w:t>.</w:t>
      </w:r>
      <w:r>
        <w:t xml:space="preserve"> </w:t>
      </w:r>
    </w:p>
    <w:p w14:paraId="1C01A0C8" w14:textId="4FE823F7" w:rsidR="00DF24AE" w:rsidRPr="0085443D" w:rsidRDefault="00DF24AE" w:rsidP="003B497A">
      <w:pPr>
        <w:spacing w:after="80"/>
        <w:rPr>
          <w:b/>
          <w:i/>
          <w:lang w:val="hr-HR"/>
        </w:rPr>
      </w:pPr>
    </w:p>
    <w:p w14:paraId="0581D3DB" w14:textId="77777777" w:rsidR="003B497A" w:rsidRPr="0085443D" w:rsidRDefault="003B497A" w:rsidP="003B497A">
      <w:pPr>
        <w:spacing w:after="80"/>
        <w:rPr>
          <w:b/>
          <w:i/>
          <w:lang w:val="hr-HR"/>
        </w:rPr>
      </w:pPr>
      <w:r w:rsidRPr="0085443D">
        <w:rPr>
          <w:b/>
          <w:i/>
          <w:lang w:val="hr-HR"/>
        </w:rPr>
        <w:t>Sigurnost građana</w:t>
      </w:r>
    </w:p>
    <w:p w14:paraId="60A92FB4" w14:textId="77777777" w:rsidR="003B497A" w:rsidRPr="0085443D" w:rsidRDefault="0027728A" w:rsidP="003B497A">
      <w:pPr>
        <w:spacing w:after="100"/>
        <w:jc w:val="both"/>
        <w:rPr>
          <w:b/>
          <w:i/>
        </w:rPr>
      </w:pPr>
      <w:r w:rsidRPr="0085443D">
        <w:rPr>
          <w:b/>
          <w:i/>
        </w:rPr>
        <w:t>Broj k</w:t>
      </w:r>
      <w:r w:rsidR="003B497A" w:rsidRPr="0085443D">
        <w:rPr>
          <w:b/>
          <w:i/>
        </w:rPr>
        <w:t>rivičn</w:t>
      </w:r>
      <w:r w:rsidRPr="0085443D">
        <w:rPr>
          <w:b/>
          <w:i/>
        </w:rPr>
        <w:t>ih</w:t>
      </w:r>
      <w:r w:rsidR="003B497A" w:rsidRPr="0085443D">
        <w:rPr>
          <w:b/>
          <w:i/>
        </w:rPr>
        <w:t xml:space="preserve"> djela na području </w:t>
      </w:r>
      <w:r w:rsidRPr="0085443D">
        <w:rPr>
          <w:b/>
          <w:i/>
        </w:rPr>
        <w:t>Opštine Prnjavor</w:t>
      </w:r>
      <w:r w:rsidR="003B497A" w:rsidRPr="0085443D">
        <w:rPr>
          <w:b/>
          <w:i/>
        </w:rPr>
        <w:t xml:space="preserve"> u periodu od 201</w:t>
      </w:r>
      <w:r w:rsidRPr="0085443D">
        <w:rPr>
          <w:b/>
          <w:i/>
        </w:rPr>
        <w:t>2</w:t>
      </w:r>
      <w:r w:rsidR="003B497A" w:rsidRPr="0085443D">
        <w:rPr>
          <w:b/>
          <w:i/>
        </w:rPr>
        <w:t>. do</w:t>
      </w:r>
      <w:r w:rsidRPr="0085443D">
        <w:rPr>
          <w:b/>
          <w:i/>
        </w:rPr>
        <w:t xml:space="preserve"> </w:t>
      </w:r>
      <w:r w:rsidR="003B497A" w:rsidRPr="0085443D">
        <w:rPr>
          <w:b/>
          <w:i/>
        </w:rPr>
        <w:t>201</w:t>
      </w:r>
      <w:r w:rsidRPr="0085443D">
        <w:rPr>
          <w:b/>
          <w:i/>
        </w:rPr>
        <w:t>6</w:t>
      </w:r>
      <w:r w:rsidR="003B497A" w:rsidRPr="0085443D">
        <w:rPr>
          <w:b/>
          <w:i/>
        </w:rPr>
        <w:t>. godine</w:t>
      </w:r>
    </w:p>
    <w:tbl>
      <w:tblPr>
        <w:tblStyle w:val="GridTable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630"/>
        <w:gridCol w:w="1630"/>
        <w:gridCol w:w="992"/>
        <w:gridCol w:w="992"/>
        <w:gridCol w:w="992"/>
      </w:tblGrid>
      <w:tr w:rsidR="00594924" w:rsidRPr="0085443D" w14:paraId="4FE7AA60" w14:textId="77777777" w:rsidTr="004922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right w:val="none" w:sz="0" w:space="0" w:color="auto"/>
            </w:tcBorders>
          </w:tcPr>
          <w:p w14:paraId="5598009A" w14:textId="77777777" w:rsidR="0027728A" w:rsidRPr="0085443D" w:rsidRDefault="0027728A" w:rsidP="00594924">
            <w:pPr>
              <w:jc w:val="both"/>
              <w:rPr>
                <w:i/>
                <w:color w:val="auto"/>
                <w:sz w:val="20"/>
              </w:rPr>
            </w:pPr>
            <w:r w:rsidRPr="0085443D">
              <w:rPr>
                <w:bCs w:val="0"/>
                <w:color w:val="auto"/>
                <w:sz w:val="20"/>
              </w:rPr>
              <w:t>Godina</w:t>
            </w:r>
          </w:p>
        </w:tc>
        <w:tc>
          <w:tcPr>
            <w:tcW w:w="1630" w:type="dxa"/>
            <w:tcBorders>
              <w:top w:val="none" w:sz="0" w:space="0" w:color="auto"/>
              <w:left w:val="none" w:sz="0" w:space="0" w:color="auto"/>
              <w:bottom w:val="none" w:sz="0" w:space="0" w:color="auto"/>
              <w:right w:val="none" w:sz="0" w:space="0" w:color="auto"/>
            </w:tcBorders>
          </w:tcPr>
          <w:p w14:paraId="435C0995" w14:textId="77777777" w:rsidR="0027728A" w:rsidRPr="0085443D" w:rsidRDefault="0027728A" w:rsidP="00594924">
            <w:pPr>
              <w:jc w:val="both"/>
              <w:cnfStyle w:val="100000000000" w:firstRow="1" w:lastRow="0" w:firstColumn="0" w:lastColumn="0" w:oddVBand="0" w:evenVBand="0" w:oddHBand="0" w:evenHBand="0" w:firstRowFirstColumn="0" w:firstRowLastColumn="0" w:lastRowFirstColumn="0" w:lastRowLastColumn="0"/>
              <w:rPr>
                <w:i/>
                <w:color w:val="auto"/>
                <w:sz w:val="20"/>
              </w:rPr>
            </w:pPr>
            <w:r w:rsidRPr="0085443D">
              <w:rPr>
                <w:i/>
                <w:color w:val="auto"/>
                <w:sz w:val="20"/>
              </w:rPr>
              <w:t>2012</w:t>
            </w:r>
          </w:p>
        </w:tc>
        <w:tc>
          <w:tcPr>
            <w:tcW w:w="1630" w:type="dxa"/>
            <w:tcBorders>
              <w:top w:val="none" w:sz="0" w:space="0" w:color="auto"/>
              <w:left w:val="none" w:sz="0" w:space="0" w:color="auto"/>
              <w:bottom w:val="none" w:sz="0" w:space="0" w:color="auto"/>
              <w:right w:val="none" w:sz="0" w:space="0" w:color="auto"/>
            </w:tcBorders>
          </w:tcPr>
          <w:p w14:paraId="3CE879B6" w14:textId="77777777" w:rsidR="0027728A" w:rsidRPr="0085443D" w:rsidRDefault="0027728A" w:rsidP="00594924">
            <w:pPr>
              <w:jc w:val="both"/>
              <w:cnfStyle w:val="100000000000" w:firstRow="1" w:lastRow="0" w:firstColumn="0" w:lastColumn="0" w:oddVBand="0" w:evenVBand="0" w:oddHBand="0" w:evenHBand="0" w:firstRowFirstColumn="0" w:firstRowLastColumn="0" w:lastRowFirstColumn="0" w:lastRowLastColumn="0"/>
              <w:rPr>
                <w:i/>
                <w:color w:val="auto"/>
                <w:sz w:val="20"/>
              </w:rPr>
            </w:pPr>
            <w:r w:rsidRPr="0085443D">
              <w:rPr>
                <w:i/>
                <w:color w:val="auto"/>
                <w:sz w:val="20"/>
              </w:rPr>
              <w:t>2013</w:t>
            </w:r>
          </w:p>
        </w:tc>
        <w:tc>
          <w:tcPr>
            <w:tcW w:w="992" w:type="dxa"/>
            <w:tcBorders>
              <w:top w:val="none" w:sz="0" w:space="0" w:color="auto"/>
              <w:left w:val="none" w:sz="0" w:space="0" w:color="auto"/>
              <w:bottom w:val="none" w:sz="0" w:space="0" w:color="auto"/>
              <w:right w:val="none" w:sz="0" w:space="0" w:color="auto"/>
            </w:tcBorders>
          </w:tcPr>
          <w:p w14:paraId="3D921A20" w14:textId="77777777" w:rsidR="0027728A" w:rsidRPr="0085443D" w:rsidRDefault="0027728A" w:rsidP="00594924">
            <w:pPr>
              <w:jc w:val="both"/>
              <w:cnfStyle w:val="100000000000" w:firstRow="1" w:lastRow="0" w:firstColumn="0" w:lastColumn="0" w:oddVBand="0" w:evenVBand="0" w:oddHBand="0" w:evenHBand="0" w:firstRowFirstColumn="0" w:firstRowLastColumn="0" w:lastRowFirstColumn="0" w:lastRowLastColumn="0"/>
              <w:rPr>
                <w:i/>
                <w:color w:val="auto"/>
                <w:sz w:val="20"/>
              </w:rPr>
            </w:pPr>
            <w:r w:rsidRPr="0085443D">
              <w:rPr>
                <w:i/>
                <w:color w:val="auto"/>
                <w:sz w:val="20"/>
              </w:rPr>
              <w:t>2014</w:t>
            </w:r>
          </w:p>
        </w:tc>
        <w:tc>
          <w:tcPr>
            <w:tcW w:w="992" w:type="dxa"/>
            <w:tcBorders>
              <w:top w:val="none" w:sz="0" w:space="0" w:color="auto"/>
              <w:left w:val="none" w:sz="0" w:space="0" w:color="auto"/>
              <w:bottom w:val="none" w:sz="0" w:space="0" w:color="auto"/>
              <w:right w:val="none" w:sz="0" w:space="0" w:color="auto"/>
            </w:tcBorders>
          </w:tcPr>
          <w:p w14:paraId="290123C1" w14:textId="77777777" w:rsidR="0027728A" w:rsidRPr="0085443D" w:rsidRDefault="0027728A" w:rsidP="00594924">
            <w:pPr>
              <w:jc w:val="both"/>
              <w:cnfStyle w:val="100000000000" w:firstRow="1" w:lastRow="0" w:firstColumn="0" w:lastColumn="0" w:oddVBand="0" w:evenVBand="0" w:oddHBand="0" w:evenHBand="0" w:firstRowFirstColumn="0" w:firstRowLastColumn="0" w:lastRowFirstColumn="0" w:lastRowLastColumn="0"/>
              <w:rPr>
                <w:i/>
                <w:color w:val="auto"/>
                <w:sz w:val="20"/>
              </w:rPr>
            </w:pPr>
            <w:r w:rsidRPr="0085443D">
              <w:rPr>
                <w:i/>
                <w:color w:val="auto"/>
                <w:sz w:val="20"/>
              </w:rPr>
              <w:t>2015</w:t>
            </w:r>
          </w:p>
        </w:tc>
        <w:tc>
          <w:tcPr>
            <w:tcW w:w="992" w:type="dxa"/>
            <w:tcBorders>
              <w:top w:val="none" w:sz="0" w:space="0" w:color="auto"/>
              <w:left w:val="none" w:sz="0" w:space="0" w:color="auto"/>
              <w:bottom w:val="none" w:sz="0" w:space="0" w:color="auto"/>
              <w:right w:val="none" w:sz="0" w:space="0" w:color="auto"/>
            </w:tcBorders>
          </w:tcPr>
          <w:p w14:paraId="2BC56CB2" w14:textId="77777777" w:rsidR="0027728A" w:rsidRPr="0085443D" w:rsidRDefault="0027728A" w:rsidP="00594924">
            <w:pPr>
              <w:jc w:val="both"/>
              <w:cnfStyle w:val="100000000000" w:firstRow="1" w:lastRow="0" w:firstColumn="0" w:lastColumn="0" w:oddVBand="0" w:evenVBand="0" w:oddHBand="0" w:evenHBand="0" w:firstRowFirstColumn="0" w:firstRowLastColumn="0" w:lastRowFirstColumn="0" w:lastRowLastColumn="0"/>
              <w:rPr>
                <w:i/>
                <w:color w:val="auto"/>
                <w:sz w:val="20"/>
              </w:rPr>
            </w:pPr>
            <w:r w:rsidRPr="0085443D">
              <w:rPr>
                <w:i/>
                <w:color w:val="auto"/>
                <w:sz w:val="20"/>
              </w:rPr>
              <w:t>2016</w:t>
            </w:r>
          </w:p>
        </w:tc>
      </w:tr>
      <w:tr w:rsidR="00594924" w:rsidRPr="0085443D" w14:paraId="6CC16FD2" w14:textId="77777777" w:rsidTr="00492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5800A2F" w14:textId="77777777" w:rsidR="0027728A" w:rsidRPr="0085443D" w:rsidRDefault="0027728A" w:rsidP="00594924">
            <w:pPr>
              <w:jc w:val="both"/>
              <w:rPr>
                <w:b w:val="0"/>
                <w:i/>
                <w:sz w:val="20"/>
              </w:rPr>
            </w:pPr>
            <w:r w:rsidRPr="0085443D">
              <w:rPr>
                <w:b w:val="0"/>
                <w:bCs w:val="0"/>
                <w:sz w:val="20"/>
              </w:rPr>
              <w:t>Ukupan broj krivičnih djela</w:t>
            </w:r>
          </w:p>
        </w:tc>
        <w:tc>
          <w:tcPr>
            <w:tcW w:w="1630" w:type="dxa"/>
          </w:tcPr>
          <w:p w14:paraId="1C13505E" w14:textId="77777777" w:rsidR="0027728A" w:rsidRPr="0085443D" w:rsidRDefault="0027728A" w:rsidP="00492276">
            <w:pPr>
              <w:jc w:val="right"/>
              <w:cnfStyle w:val="000000100000" w:firstRow="0" w:lastRow="0" w:firstColumn="0" w:lastColumn="0" w:oddVBand="0" w:evenVBand="0" w:oddHBand="1" w:evenHBand="0" w:firstRowFirstColumn="0" w:firstRowLastColumn="0" w:lastRowFirstColumn="0" w:lastRowLastColumn="0"/>
              <w:rPr>
                <w:i/>
                <w:sz w:val="20"/>
              </w:rPr>
            </w:pPr>
            <w:r w:rsidRPr="0085443D">
              <w:rPr>
                <w:i/>
                <w:sz w:val="20"/>
              </w:rPr>
              <w:t>282</w:t>
            </w:r>
          </w:p>
        </w:tc>
        <w:tc>
          <w:tcPr>
            <w:tcW w:w="1630" w:type="dxa"/>
          </w:tcPr>
          <w:p w14:paraId="2BFEEED5" w14:textId="77777777" w:rsidR="0027728A" w:rsidRPr="0085443D" w:rsidRDefault="0027728A" w:rsidP="00492276">
            <w:pPr>
              <w:jc w:val="right"/>
              <w:cnfStyle w:val="000000100000" w:firstRow="0" w:lastRow="0" w:firstColumn="0" w:lastColumn="0" w:oddVBand="0" w:evenVBand="0" w:oddHBand="1" w:evenHBand="0" w:firstRowFirstColumn="0" w:firstRowLastColumn="0" w:lastRowFirstColumn="0" w:lastRowLastColumn="0"/>
              <w:rPr>
                <w:i/>
                <w:sz w:val="20"/>
              </w:rPr>
            </w:pPr>
            <w:r w:rsidRPr="0085443D">
              <w:rPr>
                <w:i/>
                <w:sz w:val="20"/>
              </w:rPr>
              <w:t>262</w:t>
            </w:r>
          </w:p>
        </w:tc>
        <w:tc>
          <w:tcPr>
            <w:tcW w:w="992" w:type="dxa"/>
          </w:tcPr>
          <w:p w14:paraId="6E1D1C32" w14:textId="77777777" w:rsidR="0027728A" w:rsidRPr="0085443D" w:rsidRDefault="0027728A" w:rsidP="00492276">
            <w:pPr>
              <w:jc w:val="right"/>
              <w:cnfStyle w:val="000000100000" w:firstRow="0" w:lastRow="0" w:firstColumn="0" w:lastColumn="0" w:oddVBand="0" w:evenVBand="0" w:oddHBand="1" w:evenHBand="0" w:firstRowFirstColumn="0" w:firstRowLastColumn="0" w:lastRowFirstColumn="0" w:lastRowLastColumn="0"/>
              <w:rPr>
                <w:i/>
                <w:sz w:val="20"/>
              </w:rPr>
            </w:pPr>
            <w:r w:rsidRPr="0085443D">
              <w:rPr>
                <w:i/>
                <w:sz w:val="20"/>
              </w:rPr>
              <w:t>237</w:t>
            </w:r>
          </w:p>
        </w:tc>
        <w:tc>
          <w:tcPr>
            <w:tcW w:w="992" w:type="dxa"/>
          </w:tcPr>
          <w:p w14:paraId="6DCF9A8E" w14:textId="77777777" w:rsidR="0027728A" w:rsidRPr="0085443D" w:rsidRDefault="0027728A" w:rsidP="00492276">
            <w:pPr>
              <w:jc w:val="right"/>
              <w:cnfStyle w:val="000000100000" w:firstRow="0" w:lastRow="0" w:firstColumn="0" w:lastColumn="0" w:oddVBand="0" w:evenVBand="0" w:oddHBand="1" w:evenHBand="0" w:firstRowFirstColumn="0" w:firstRowLastColumn="0" w:lastRowFirstColumn="0" w:lastRowLastColumn="0"/>
              <w:rPr>
                <w:i/>
                <w:sz w:val="20"/>
              </w:rPr>
            </w:pPr>
            <w:r w:rsidRPr="0085443D">
              <w:rPr>
                <w:i/>
                <w:sz w:val="20"/>
              </w:rPr>
              <w:t>282</w:t>
            </w:r>
          </w:p>
        </w:tc>
        <w:tc>
          <w:tcPr>
            <w:tcW w:w="992" w:type="dxa"/>
          </w:tcPr>
          <w:p w14:paraId="5069251B" w14:textId="77777777" w:rsidR="0027728A" w:rsidRPr="0085443D" w:rsidRDefault="0027728A" w:rsidP="00492276">
            <w:pPr>
              <w:jc w:val="right"/>
              <w:cnfStyle w:val="000000100000" w:firstRow="0" w:lastRow="0" w:firstColumn="0" w:lastColumn="0" w:oddVBand="0" w:evenVBand="0" w:oddHBand="1" w:evenHBand="0" w:firstRowFirstColumn="0" w:firstRowLastColumn="0" w:lastRowFirstColumn="0" w:lastRowLastColumn="0"/>
              <w:rPr>
                <w:i/>
                <w:sz w:val="20"/>
              </w:rPr>
            </w:pPr>
            <w:r w:rsidRPr="0085443D">
              <w:rPr>
                <w:i/>
                <w:sz w:val="20"/>
              </w:rPr>
              <w:t>487</w:t>
            </w:r>
          </w:p>
        </w:tc>
      </w:tr>
      <w:tr w:rsidR="00594924" w:rsidRPr="0085443D" w14:paraId="4C2A7621" w14:textId="77777777" w:rsidTr="00492276">
        <w:tc>
          <w:tcPr>
            <w:cnfStyle w:val="001000000000" w:firstRow="0" w:lastRow="0" w:firstColumn="1" w:lastColumn="0" w:oddVBand="0" w:evenVBand="0" w:oddHBand="0" w:evenHBand="0" w:firstRowFirstColumn="0" w:firstRowLastColumn="0" w:lastRowFirstColumn="0" w:lastRowLastColumn="0"/>
            <w:tcW w:w="3114" w:type="dxa"/>
          </w:tcPr>
          <w:p w14:paraId="6C2437AB" w14:textId="77777777" w:rsidR="0027728A" w:rsidRPr="0085443D" w:rsidRDefault="0027728A" w:rsidP="00594924">
            <w:pPr>
              <w:jc w:val="both"/>
              <w:rPr>
                <w:b w:val="0"/>
                <w:bCs w:val="0"/>
                <w:sz w:val="20"/>
              </w:rPr>
            </w:pPr>
            <w:r w:rsidRPr="0085443D">
              <w:rPr>
                <w:b w:val="0"/>
                <w:bCs w:val="0"/>
                <w:sz w:val="20"/>
              </w:rPr>
              <w:t>Ukupna materijalna šteta u KM</w:t>
            </w:r>
          </w:p>
        </w:tc>
        <w:tc>
          <w:tcPr>
            <w:tcW w:w="1630" w:type="dxa"/>
          </w:tcPr>
          <w:p w14:paraId="447879C1" w14:textId="77777777" w:rsidR="0027728A" w:rsidRPr="0085443D" w:rsidRDefault="0027728A" w:rsidP="00492276">
            <w:pPr>
              <w:jc w:val="right"/>
              <w:cnfStyle w:val="000000000000" w:firstRow="0" w:lastRow="0" w:firstColumn="0" w:lastColumn="0" w:oddVBand="0" w:evenVBand="0" w:oddHBand="0" w:evenHBand="0" w:firstRowFirstColumn="0" w:firstRowLastColumn="0" w:lastRowFirstColumn="0" w:lastRowLastColumn="0"/>
              <w:rPr>
                <w:i/>
                <w:sz w:val="20"/>
              </w:rPr>
            </w:pPr>
            <w:r w:rsidRPr="0085443D">
              <w:rPr>
                <w:i/>
                <w:sz w:val="20"/>
              </w:rPr>
              <w:t>Nema podataka</w:t>
            </w:r>
          </w:p>
        </w:tc>
        <w:tc>
          <w:tcPr>
            <w:tcW w:w="1630" w:type="dxa"/>
          </w:tcPr>
          <w:p w14:paraId="5CE3CAD6" w14:textId="77777777" w:rsidR="0027728A" w:rsidRPr="0085443D" w:rsidRDefault="0027728A" w:rsidP="00492276">
            <w:pPr>
              <w:jc w:val="right"/>
              <w:cnfStyle w:val="000000000000" w:firstRow="0" w:lastRow="0" w:firstColumn="0" w:lastColumn="0" w:oddVBand="0" w:evenVBand="0" w:oddHBand="0" w:evenHBand="0" w:firstRowFirstColumn="0" w:firstRowLastColumn="0" w:lastRowFirstColumn="0" w:lastRowLastColumn="0"/>
              <w:rPr>
                <w:i/>
                <w:sz w:val="20"/>
              </w:rPr>
            </w:pPr>
            <w:r w:rsidRPr="0085443D">
              <w:rPr>
                <w:i/>
                <w:sz w:val="20"/>
              </w:rPr>
              <w:t>Nema podataka</w:t>
            </w:r>
          </w:p>
        </w:tc>
        <w:tc>
          <w:tcPr>
            <w:tcW w:w="992" w:type="dxa"/>
          </w:tcPr>
          <w:p w14:paraId="29E958E6" w14:textId="77777777" w:rsidR="0027728A" w:rsidRPr="0085443D" w:rsidRDefault="00492276" w:rsidP="00492276">
            <w:pPr>
              <w:jc w:val="right"/>
              <w:cnfStyle w:val="000000000000" w:firstRow="0" w:lastRow="0" w:firstColumn="0" w:lastColumn="0" w:oddVBand="0" w:evenVBand="0" w:oddHBand="0" w:evenHBand="0" w:firstRowFirstColumn="0" w:firstRowLastColumn="0" w:lastRowFirstColumn="0" w:lastRowLastColumn="0"/>
              <w:rPr>
                <w:i/>
                <w:sz w:val="20"/>
              </w:rPr>
            </w:pPr>
            <w:r w:rsidRPr="0085443D">
              <w:rPr>
                <w:i/>
                <w:sz w:val="20"/>
              </w:rPr>
              <w:t>258.</w:t>
            </w:r>
            <w:r w:rsidR="0027728A" w:rsidRPr="0085443D">
              <w:rPr>
                <w:i/>
                <w:sz w:val="20"/>
              </w:rPr>
              <w:t>190</w:t>
            </w:r>
          </w:p>
        </w:tc>
        <w:tc>
          <w:tcPr>
            <w:tcW w:w="992" w:type="dxa"/>
          </w:tcPr>
          <w:p w14:paraId="78042B45" w14:textId="77777777" w:rsidR="0027728A" w:rsidRPr="0085443D" w:rsidRDefault="0027728A" w:rsidP="00492276">
            <w:pPr>
              <w:jc w:val="right"/>
              <w:cnfStyle w:val="000000000000" w:firstRow="0" w:lastRow="0" w:firstColumn="0" w:lastColumn="0" w:oddVBand="0" w:evenVBand="0" w:oddHBand="0" w:evenHBand="0" w:firstRowFirstColumn="0" w:firstRowLastColumn="0" w:lastRowFirstColumn="0" w:lastRowLastColumn="0"/>
              <w:rPr>
                <w:i/>
                <w:sz w:val="20"/>
              </w:rPr>
            </w:pPr>
            <w:r w:rsidRPr="0085443D">
              <w:rPr>
                <w:i/>
                <w:sz w:val="20"/>
              </w:rPr>
              <w:t>583</w:t>
            </w:r>
            <w:r w:rsidR="00492276" w:rsidRPr="0085443D">
              <w:rPr>
                <w:i/>
                <w:sz w:val="20"/>
              </w:rPr>
              <w:t>.</w:t>
            </w:r>
            <w:r w:rsidRPr="0085443D">
              <w:rPr>
                <w:i/>
                <w:sz w:val="20"/>
              </w:rPr>
              <w:t>965</w:t>
            </w:r>
          </w:p>
        </w:tc>
        <w:tc>
          <w:tcPr>
            <w:tcW w:w="992" w:type="dxa"/>
          </w:tcPr>
          <w:p w14:paraId="52FCED5A" w14:textId="77777777" w:rsidR="0027728A" w:rsidRPr="0085443D" w:rsidRDefault="0027728A" w:rsidP="00492276">
            <w:pPr>
              <w:jc w:val="right"/>
              <w:cnfStyle w:val="000000000000" w:firstRow="0" w:lastRow="0" w:firstColumn="0" w:lastColumn="0" w:oddVBand="0" w:evenVBand="0" w:oddHBand="0" w:evenHBand="0" w:firstRowFirstColumn="0" w:firstRowLastColumn="0" w:lastRowFirstColumn="0" w:lastRowLastColumn="0"/>
              <w:rPr>
                <w:i/>
                <w:sz w:val="20"/>
              </w:rPr>
            </w:pPr>
            <w:r w:rsidRPr="0085443D">
              <w:rPr>
                <w:i/>
                <w:sz w:val="20"/>
              </w:rPr>
              <w:t>706</w:t>
            </w:r>
            <w:r w:rsidR="00492276" w:rsidRPr="0085443D">
              <w:rPr>
                <w:i/>
                <w:sz w:val="20"/>
              </w:rPr>
              <w:t>.</w:t>
            </w:r>
            <w:r w:rsidRPr="0085443D">
              <w:rPr>
                <w:i/>
                <w:sz w:val="20"/>
              </w:rPr>
              <w:t>523</w:t>
            </w:r>
          </w:p>
        </w:tc>
      </w:tr>
    </w:tbl>
    <w:p w14:paraId="1402A110" w14:textId="7B252229" w:rsidR="00B133F2" w:rsidRPr="0085443D" w:rsidRDefault="00B93ED3" w:rsidP="003B497A">
      <w:pPr>
        <w:spacing w:after="100"/>
        <w:jc w:val="both"/>
        <w:rPr>
          <w:b/>
          <w:i/>
        </w:rPr>
      </w:pPr>
      <w:r w:rsidRPr="0085443D">
        <w:rPr>
          <w:i/>
          <w:sz w:val="20"/>
          <w:szCs w:val="20"/>
          <w:lang w:val="hr-HR"/>
        </w:rPr>
        <w:t>Izvor: MUP RS, CJB Banja Luka, Policijska stanica Prnjavor, februar 2017. godine – Broj krivičnih djela i struktura kriminaliteta (dokument broj 13/4-01-052.1-195/17)</w:t>
      </w:r>
    </w:p>
    <w:p w14:paraId="6A81688B" w14:textId="33736CBA" w:rsidR="007A55B5" w:rsidRPr="0085443D" w:rsidRDefault="00EF4F67" w:rsidP="00B93ED3">
      <w:pPr>
        <w:spacing w:after="100"/>
        <w:jc w:val="both"/>
      </w:pPr>
      <w:r w:rsidRPr="00B93ED3">
        <w:rPr>
          <w:highlight w:val="cyan"/>
        </w:rPr>
        <w:t>Struktura krivičnih djela na području Opštine Prnjavor</w:t>
      </w:r>
      <w:r w:rsidR="00B93ED3" w:rsidRPr="00B93ED3">
        <w:rPr>
          <w:highlight w:val="cyan"/>
        </w:rPr>
        <w:t xml:space="preserve"> (isti izvor)</w:t>
      </w:r>
      <w:r w:rsidRPr="00B93ED3">
        <w:rPr>
          <w:highlight w:val="cyan"/>
        </w:rPr>
        <w:t xml:space="preserve"> u periodu od 2012. do 2016. godine</w:t>
      </w:r>
      <w:r w:rsidR="00B93ED3" w:rsidRPr="00B93ED3">
        <w:rPr>
          <w:highlight w:val="cyan"/>
        </w:rPr>
        <w:t xml:space="preserve"> pokazuje da je </w:t>
      </w:r>
      <w:r w:rsidR="00FF5465" w:rsidRPr="00B93ED3">
        <w:rPr>
          <w:highlight w:val="cyan"/>
        </w:rPr>
        <w:t xml:space="preserve">najviše krivičnih djela </w:t>
      </w:r>
      <w:r w:rsidR="00B93ED3" w:rsidRPr="00B93ED3">
        <w:rPr>
          <w:highlight w:val="cyan"/>
        </w:rPr>
        <w:t>protiv imovine gdje se može uočiti povećanje broja krivičnih djela u 2016. godini, a takođe je veći broj krivičnih djela nasilja u porodici, nedozvoljene proizvodnje i prometa oružja ili eksplozivnih materija i u oblasti bezbijednosti saobraćaja, mada se ne povećava</w:t>
      </w:r>
      <w:r w:rsidR="00B93ED3">
        <w:rPr>
          <w:highlight w:val="cyan"/>
        </w:rPr>
        <w:t>ju</w:t>
      </w:r>
      <w:r w:rsidR="00B93ED3" w:rsidRPr="00B93ED3">
        <w:rPr>
          <w:highlight w:val="cyan"/>
        </w:rPr>
        <w:t xml:space="preserve"> značajno. Može se uočiti i smanjenje broja krivičnih djela u oblasti zloupotrebe droga. </w:t>
      </w:r>
      <w:r w:rsidR="00492276" w:rsidRPr="00B93ED3">
        <w:rPr>
          <w:highlight w:val="cyan"/>
        </w:rPr>
        <w:t>Podaci pokazuju da zbog porasta broja krivičnih djela</w:t>
      </w:r>
      <w:r w:rsidR="00B93ED3" w:rsidRPr="00B93ED3">
        <w:rPr>
          <w:highlight w:val="cyan"/>
        </w:rPr>
        <w:t xml:space="preserve"> protiv imovine</w:t>
      </w:r>
      <w:r w:rsidR="00492276" w:rsidRPr="00B93ED3">
        <w:rPr>
          <w:highlight w:val="cyan"/>
        </w:rPr>
        <w:t>, posebno u 2016. godini, bezbjednost građana treba da bud</w:t>
      </w:r>
      <w:r w:rsidR="00B93ED3" w:rsidRPr="00B93ED3">
        <w:rPr>
          <w:highlight w:val="cyan"/>
        </w:rPr>
        <w:t>e u fokusu i u narednom periodu u ovoj oblasti, ali su potrebna poboljšanja i u ostalim oblastima.</w:t>
      </w:r>
      <w:r w:rsidR="00B93ED3">
        <w:t xml:space="preserve"> </w:t>
      </w:r>
    </w:p>
    <w:p w14:paraId="01947F2E" w14:textId="77777777" w:rsidR="00AD7266" w:rsidRPr="0085443D" w:rsidRDefault="00AD7266" w:rsidP="003B497A">
      <w:pPr>
        <w:spacing w:after="80"/>
      </w:pPr>
    </w:p>
    <w:p w14:paraId="38DFC3A8" w14:textId="77777777" w:rsidR="003B497A" w:rsidRPr="0085443D" w:rsidRDefault="00D6421B" w:rsidP="003B497A">
      <w:pPr>
        <w:spacing w:after="80"/>
        <w:rPr>
          <w:b/>
          <w:u w:val="single"/>
        </w:rPr>
      </w:pPr>
      <w:hyperlink w:anchor="_Toc443859775" w:history="1">
        <w:r w:rsidR="003B497A" w:rsidRPr="0085443D">
          <w:rPr>
            <w:b/>
            <w:u w:val="single"/>
          </w:rPr>
          <w:t>St</w:t>
        </w:r>
        <w:r w:rsidR="007B3DED" w:rsidRPr="0085443D">
          <w:rPr>
            <w:b/>
            <w:u w:val="single"/>
          </w:rPr>
          <w:t>a</w:t>
        </w:r>
        <w:r w:rsidR="003B497A" w:rsidRPr="0085443D">
          <w:rPr>
            <w:b/>
            <w:u w:val="single"/>
          </w:rPr>
          <w:t>nj</w:t>
        </w:r>
        <w:r w:rsidR="007B3DED" w:rsidRPr="0085443D">
          <w:rPr>
            <w:b/>
            <w:u w:val="single"/>
          </w:rPr>
          <w:t>e</w:t>
        </w:r>
        <w:r w:rsidR="003B497A" w:rsidRPr="0085443D">
          <w:rPr>
            <w:b/>
            <w:u w:val="single"/>
          </w:rPr>
          <w:t xml:space="preserve"> </w:t>
        </w:r>
        <w:r w:rsidR="007B3DED" w:rsidRPr="0085443D">
          <w:rPr>
            <w:b/>
            <w:u w:val="single"/>
          </w:rPr>
          <w:t>ja</w:t>
        </w:r>
        <w:r w:rsidR="003B497A" w:rsidRPr="0085443D">
          <w:rPr>
            <w:b/>
            <w:u w:val="single"/>
          </w:rPr>
          <w:t>vn</w:t>
        </w:r>
        <w:r w:rsidR="007B3DED" w:rsidRPr="0085443D">
          <w:rPr>
            <w:b/>
            <w:u w:val="single"/>
          </w:rPr>
          <w:t>e</w:t>
        </w:r>
        <w:r w:rsidR="003B497A" w:rsidRPr="0085443D">
          <w:rPr>
            <w:b/>
            <w:u w:val="single"/>
          </w:rPr>
          <w:t xml:space="preserve"> infr</w:t>
        </w:r>
        <w:r w:rsidR="007B3DED" w:rsidRPr="0085443D">
          <w:rPr>
            <w:b/>
            <w:u w:val="single"/>
          </w:rPr>
          <w:t>a</w:t>
        </w:r>
        <w:r w:rsidR="003B497A" w:rsidRPr="0085443D">
          <w:rPr>
            <w:b/>
            <w:u w:val="single"/>
          </w:rPr>
          <w:t>struktur</w:t>
        </w:r>
        <w:r w:rsidR="007B3DED" w:rsidRPr="0085443D">
          <w:rPr>
            <w:b/>
            <w:u w:val="single"/>
          </w:rPr>
          <w:t>e</w:t>
        </w:r>
        <w:r w:rsidR="003B497A" w:rsidRPr="0085443D">
          <w:rPr>
            <w:b/>
            <w:u w:val="single"/>
          </w:rPr>
          <w:t xml:space="preserve"> i </w:t>
        </w:r>
        <w:r w:rsidR="007B3DED" w:rsidRPr="0085443D">
          <w:rPr>
            <w:b/>
            <w:u w:val="single"/>
          </w:rPr>
          <w:t>ja</w:t>
        </w:r>
        <w:r w:rsidR="003B497A" w:rsidRPr="0085443D">
          <w:rPr>
            <w:b/>
            <w:u w:val="single"/>
          </w:rPr>
          <w:t>vnih uslug</w:t>
        </w:r>
        <w:r w:rsidR="007B3DED" w:rsidRPr="0085443D">
          <w:rPr>
            <w:b/>
            <w:u w:val="single"/>
          </w:rPr>
          <w:t>a</w:t>
        </w:r>
      </w:hyperlink>
    </w:p>
    <w:p w14:paraId="7B61C37E" w14:textId="77777777" w:rsidR="002A3236" w:rsidRPr="0085443D" w:rsidRDefault="002A3236" w:rsidP="002A3236"/>
    <w:p w14:paraId="7095BEAB" w14:textId="77777777" w:rsidR="00DC3B52" w:rsidRPr="0085443D" w:rsidRDefault="00DC3B52" w:rsidP="00DC3B52">
      <w:pPr>
        <w:spacing w:after="80"/>
        <w:rPr>
          <w:b/>
          <w:i/>
          <w:lang w:val="hr-HR"/>
        </w:rPr>
      </w:pPr>
      <w:r w:rsidRPr="0085443D">
        <w:rPr>
          <w:b/>
          <w:i/>
          <w:lang w:val="hr-HR"/>
        </w:rPr>
        <w:t xml:space="preserve">Stanje saobraćajne infrastrukture - cestovna mreža na području opštine </w:t>
      </w:r>
    </w:p>
    <w:p w14:paraId="3BC096BD" w14:textId="4EE06778" w:rsidR="00DC3B52" w:rsidRPr="0085443D" w:rsidRDefault="00E2318E" w:rsidP="00191BF4">
      <w:pPr>
        <w:spacing w:after="100"/>
        <w:jc w:val="both"/>
      </w:pPr>
      <w:r w:rsidRPr="0085443D">
        <w:t>U periodu implementacije Strategije asfaltirano je oko 30 km ulica i puteva na području opštine.</w:t>
      </w:r>
      <w:r w:rsidRPr="0085443D">
        <w:rPr>
          <w:rStyle w:val="FootnoteReference"/>
        </w:rPr>
        <w:footnoteReference w:id="13"/>
      </w:r>
      <w:r w:rsidRPr="0085443D">
        <w:t xml:space="preserve"> </w:t>
      </w:r>
      <w:r w:rsidR="006174DB" w:rsidRPr="0085443D">
        <w:t xml:space="preserve">Ipak, stanje lokalne putne mreže nije zadovoljavajuće i potrebna su </w:t>
      </w:r>
      <w:r w:rsidR="00034F8A">
        <w:t xml:space="preserve">dalja </w:t>
      </w:r>
      <w:r w:rsidR="006174DB" w:rsidRPr="0085443D">
        <w:t>unapređenja</w:t>
      </w:r>
      <w:r w:rsidR="002F6622" w:rsidRPr="00B93ED3">
        <w:rPr>
          <w:highlight w:val="cyan"/>
        </w:rPr>
        <w:t xml:space="preserve">, posebno u pogledu </w:t>
      </w:r>
      <w:r w:rsidR="00B93ED3" w:rsidRPr="00B93ED3">
        <w:rPr>
          <w:highlight w:val="cyan"/>
        </w:rPr>
        <w:t>pokrivenosti čitavog područja opštine asfaltnim saobraćajnicama</w:t>
      </w:r>
      <w:r w:rsidR="006174DB" w:rsidRPr="0085443D">
        <w:t xml:space="preserve"> </w:t>
      </w:r>
    </w:p>
    <w:p w14:paraId="189C41A8" w14:textId="77777777" w:rsidR="00191BF4" w:rsidRPr="0085443D" w:rsidRDefault="00191BF4" w:rsidP="00DC3B52">
      <w:pPr>
        <w:spacing w:after="80"/>
        <w:rPr>
          <w:b/>
          <w:i/>
          <w:lang w:val="hr-HR"/>
        </w:rPr>
      </w:pPr>
    </w:p>
    <w:p w14:paraId="3D8F92F0" w14:textId="77777777" w:rsidR="00DC3B52" w:rsidRPr="0085443D" w:rsidRDefault="00DC3B52" w:rsidP="00DC3B52">
      <w:pPr>
        <w:spacing w:after="80"/>
        <w:rPr>
          <w:b/>
          <w:i/>
          <w:lang w:val="hr-HR"/>
        </w:rPr>
      </w:pPr>
      <w:r w:rsidRPr="0085443D">
        <w:rPr>
          <w:b/>
          <w:i/>
          <w:lang w:val="hr-HR"/>
        </w:rPr>
        <w:t>Parking prostori</w:t>
      </w:r>
    </w:p>
    <w:p w14:paraId="4804D0E9" w14:textId="5F3B2E9D" w:rsidR="00DC3B52" w:rsidRPr="0085443D" w:rsidRDefault="00A12CBC" w:rsidP="00191BF4">
      <w:pPr>
        <w:jc w:val="both"/>
      </w:pPr>
      <w:r w:rsidRPr="0085443D">
        <w:t xml:space="preserve">U periodu implementacije Strategije nije bilo značajnijih promjena, a stanje </w:t>
      </w:r>
      <w:r w:rsidR="002F6622">
        <w:t xml:space="preserve">u pogledu </w:t>
      </w:r>
      <w:r w:rsidR="002F6622" w:rsidRPr="00630523">
        <w:rPr>
          <w:highlight w:val="cyan"/>
        </w:rPr>
        <w:t xml:space="preserve">sada dostupnih </w:t>
      </w:r>
      <w:r w:rsidR="00630523" w:rsidRPr="00630523">
        <w:rPr>
          <w:highlight w:val="cyan"/>
        </w:rPr>
        <w:t>13</w:t>
      </w:r>
      <w:r w:rsidR="002F6622">
        <w:t xml:space="preserve"> parkinga </w:t>
      </w:r>
      <w:r w:rsidRPr="0085443D">
        <w:t xml:space="preserve">je zadovoljavajuće. </w:t>
      </w:r>
    </w:p>
    <w:p w14:paraId="7BCF5EAC" w14:textId="58053F82" w:rsidR="00AD7266" w:rsidRDefault="00AD7266" w:rsidP="00DC3B52">
      <w:pPr>
        <w:spacing w:after="80"/>
        <w:rPr>
          <w:b/>
          <w:i/>
          <w:lang w:val="hr-HR"/>
        </w:rPr>
      </w:pPr>
    </w:p>
    <w:p w14:paraId="5C62494C" w14:textId="4C3B55DC" w:rsidR="0025768F" w:rsidRDefault="0025768F" w:rsidP="00DC3B52">
      <w:pPr>
        <w:spacing w:after="80"/>
        <w:rPr>
          <w:b/>
          <w:i/>
          <w:lang w:val="hr-HR"/>
        </w:rPr>
      </w:pPr>
    </w:p>
    <w:p w14:paraId="1B59B83C" w14:textId="77777777" w:rsidR="0025768F" w:rsidRPr="0085443D" w:rsidRDefault="0025768F" w:rsidP="00DC3B52">
      <w:pPr>
        <w:spacing w:after="80"/>
        <w:rPr>
          <w:b/>
          <w:i/>
          <w:lang w:val="hr-HR"/>
        </w:rPr>
      </w:pPr>
    </w:p>
    <w:p w14:paraId="5D6FD921" w14:textId="77777777" w:rsidR="00DC3B52" w:rsidRPr="0085443D" w:rsidRDefault="00DC3B52" w:rsidP="00DC3B52">
      <w:pPr>
        <w:spacing w:after="80"/>
        <w:rPr>
          <w:b/>
          <w:i/>
          <w:lang w:val="hr-HR"/>
        </w:rPr>
      </w:pPr>
      <w:r w:rsidRPr="0085443D">
        <w:rPr>
          <w:b/>
          <w:i/>
          <w:lang w:val="hr-HR"/>
        </w:rPr>
        <w:lastRenderedPageBreak/>
        <w:t>Struktura zemljišne imovine u vlasništvu opštine</w:t>
      </w:r>
    </w:p>
    <w:p w14:paraId="26E9AF84" w14:textId="77777777" w:rsidR="007A55B5" w:rsidRDefault="00AD7266" w:rsidP="00191BF4">
      <w:pPr>
        <w:spacing w:after="80"/>
        <w:jc w:val="both"/>
        <w:rPr>
          <w:lang w:val="hr-HR"/>
        </w:rPr>
      </w:pPr>
      <w:r w:rsidRPr="0085443D">
        <w:rPr>
          <w:lang w:val="hr-HR"/>
        </w:rPr>
        <w:t xml:space="preserve">Evidencije i baze podataka o vlasništvu nad imovinom i njenom vrijednosti nisu kompletne, pa ni </w:t>
      </w:r>
      <w:r w:rsidR="00694065" w:rsidRPr="0085443D">
        <w:rPr>
          <w:lang w:val="hr-HR"/>
        </w:rPr>
        <w:t>sistem upravljanja opštinskom imovinom</w:t>
      </w:r>
      <w:r w:rsidRPr="0085443D">
        <w:rPr>
          <w:lang w:val="hr-HR"/>
        </w:rPr>
        <w:t xml:space="preserve"> nije u potpunosti uspostavljen</w:t>
      </w:r>
      <w:r w:rsidR="00694065" w:rsidRPr="0085443D">
        <w:rPr>
          <w:lang w:val="hr-HR"/>
        </w:rPr>
        <w:t>.</w:t>
      </w:r>
    </w:p>
    <w:p w14:paraId="238C678F" w14:textId="72422DE4" w:rsidR="00BD28AC" w:rsidRPr="00630523" w:rsidRDefault="00630523" w:rsidP="00191BF4">
      <w:pPr>
        <w:spacing w:after="80"/>
        <w:jc w:val="both"/>
        <w:rPr>
          <w:lang w:val="bs-Latn-BA"/>
        </w:rPr>
      </w:pPr>
      <w:r w:rsidRPr="00630523">
        <w:rPr>
          <w:highlight w:val="cyan"/>
          <w:lang w:val="hr-HR"/>
        </w:rPr>
        <w:t>Prema dostupnim informacijama u posjedu opštine najznačajnije nekretnine su stara zgrada opštine Prnjavor, zgrada „vojnog odsjeka“, zgrada Doma zdravlja (centar za mentalno zdravlje) i dr. Dva poslovna prostora u vlasništvu opštine</w:t>
      </w:r>
      <w:r w:rsidRPr="00630523">
        <w:rPr>
          <w:highlight w:val="cyan"/>
        </w:rPr>
        <w:t xml:space="preserve"> </w:t>
      </w:r>
      <w:r w:rsidRPr="00630523">
        <w:rPr>
          <w:highlight w:val="cyan"/>
          <w:lang w:val="hr-HR"/>
        </w:rPr>
        <w:t>dod</w:t>
      </w:r>
      <w:r w:rsidRPr="00630523">
        <w:rPr>
          <w:highlight w:val="cyan"/>
        </w:rPr>
        <w:t>i</w:t>
      </w:r>
      <w:r w:rsidRPr="00630523">
        <w:rPr>
          <w:highlight w:val="cyan"/>
          <w:lang w:val="hr-HR"/>
        </w:rPr>
        <w:t xml:space="preserve">jeljena su (iznajmljena) uz naknadu, dok je oko 30 poslovnih prostora dodijeljeno bez naknade organizacijama i udruženjima građana koji su od opšteg društvenog značaja za opštinu Prnjavor. </w:t>
      </w:r>
      <w:r w:rsidRPr="00630523">
        <w:rPr>
          <w:highlight w:val="cyan"/>
          <w:lang w:val="sr-Cyrl-BA"/>
        </w:rPr>
        <w:t xml:space="preserve">U pogledu upravljanja javnim površinama, stanje se može smatrati dobrim. Korišćenje javnih površina je definisano Odlukom o komunalnim taksama („Službeni glasnik opštine Prnjavor“, broj 20/12, 13/14, 17/14 i 9/16). U pogledu korišćenja javnih površina uz naknadu, trenutno </w:t>
      </w:r>
      <w:r w:rsidRPr="00630523">
        <w:rPr>
          <w:highlight w:val="cyan"/>
        </w:rPr>
        <w:t xml:space="preserve">je </w:t>
      </w:r>
      <w:r w:rsidRPr="00630523">
        <w:rPr>
          <w:highlight w:val="cyan"/>
          <w:lang w:val="sr-Cyrl-BA"/>
        </w:rPr>
        <w:t>na području opštine registrovano 100 korisnika, od čega 20 za bašte, 57 za garaže i 23 za kioske. Ukupna zauzeta javna površina je 1.784,85 m</w:t>
      </w:r>
      <w:r w:rsidRPr="00630523">
        <w:rPr>
          <w:highlight w:val="cyan"/>
          <w:vertAlign w:val="superscript"/>
          <w:lang w:val="sr-Cyrl-BA"/>
        </w:rPr>
        <w:t>2</w:t>
      </w:r>
      <w:r w:rsidRPr="00630523">
        <w:rPr>
          <w:highlight w:val="cyan"/>
          <w:lang w:val="sr-Cyrl-BA"/>
        </w:rPr>
        <w:t>, od čega se na bašte odnosi 532,22 m</w:t>
      </w:r>
      <w:r w:rsidRPr="00630523">
        <w:rPr>
          <w:highlight w:val="cyan"/>
          <w:vertAlign w:val="superscript"/>
          <w:lang w:val="sr-Cyrl-BA"/>
        </w:rPr>
        <w:t>2</w:t>
      </w:r>
      <w:r w:rsidRPr="00630523">
        <w:rPr>
          <w:highlight w:val="cyan"/>
          <w:lang w:val="sr-Cyrl-BA"/>
        </w:rPr>
        <w:t>, garaže 968,58 m</w:t>
      </w:r>
      <w:r w:rsidRPr="00630523">
        <w:rPr>
          <w:highlight w:val="cyan"/>
          <w:vertAlign w:val="superscript"/>
          <w:lang w:val="sr-Cyrl-BA"/>
        </w:rPr>
        <w:t>2</w:t>
      </w:r>
      <w:r w:rsidRPr="00630523">
        <w:rPr>
          <w:highlight w:val="cyan"/>
          <w:lang w:val="sr-Cyrl-BA"/>
        </w:rPr>
        <w:t>, te na kioske 284,05 m</w:t>
      </w:r>
      <w:r w:rsidRPr="00630523">
        <w:rPr>
          <w:highlight w:val="cyan"/>
          <w:vertAlign w:val="superscript"/>
          <w:lang w:val="sr-Cyrl-BA"/>
        </w:rPr>
        <w:t>2</w:t>
      </w:r>
      <w:r w:rsidRPr="00630523">
        <w:rPr>
          <w:highlight w:val="cyan"/>
          <w:lang w:val="sr-Cyrl-BA"/>
        </w:rPr>
        <w:t>.</w:t>
      </w:r>
      <w:r w:rsidR="00BD28AC" w:rsidRPr="00630523">
        <w:rPr>
          <w:lang w:val="bs-Latn-BA"/>
        </w:rPr>
        <w:t xml:space="preserve"> </w:t>
      </w:r>
    </w:p>
    <w:p w14:paraId="5C6DAC0B" w14:textId="77777777" w:rsidR="00AD7266" w:rsidRPr="0085443D" w:rsidRDefault="00AD7266" w:rsidP="00DC3B52">
      <w:pPr>
        <w:spacing w:after="80"/>
        <w:jc w:val="both"/>
        <w:rPr>
          <w:b/>
          <w:i/>
          <w:lang w:val="hr-HR"/>
        </w:rPr>
      </w:pPr>
    </w:p>
    <w:p w14:paraId="766E0CB1" w14:textId="77777777" w:rsidR="00DC3B52" w:rsidRPr="0085443D" w:rsidRDefault="00DC3B52" w:rsidP="00DC3B52">
      <w:pPr>
        <w:spacing w:after="80"/>
        <w:jc w:val="both"/>
        <w:rPr>
          <w:b/>
          <w:i/>
          <w:lang w:val="hr-HR"/>
        </w:rPr>
      </w:pPr>
      <w:r w:rsidRPr="0085443D">
        <w:rPr>
          <w:b/>
          <w:i/>
          <w:lang w:val="hr-HR"/>
        </w:rPr>
        <w:t>Stanje elektro-distributivne mreže na području Opštine, broj kupaca/potrošača električne energije</w:t>
      </w:r>
    </w:p>
    <w:p w14:paraId="76E9D550" w14:textId="77777777" w:rsidR="00DC3B52" w:rsidRPr="0085443D" w:rsidRDefault="00DC3B52" w:rsidP="00DC3B52">
      <w:pPr>
        <w:jc w:val="both"/>
      </w:pPr>
      <w:r w:rsidRPr="0085443D">
        <w:t xml:space="preserve">Na području opštine Prnjavor </w:t>
      </w:r>
      <w:r w:rsidR="00191BF4" w:rsidRPr="0085443D">
        <w:t>dužina</w:t>
      </w:r>
      <w:r w:rsidRPr="0085443D">
        <w:t xml:space="preserve"> elektro mreže</w:t>
      </w:r>
      <w:r w:rsidR="00191BF4" w:rsidRPr="0085443D">
        <w:t xml:space="preserve"> je</w:t>
      </w:r>
      <w:r w:rsidRPr="0085443D">
        <w:t xml:space="preserve"> 1</w:t>
      </w:r>
      <w:r w:rsidR="00191BF4" w:rsidRPr="0085443D">
        <w:t>.</w:t>
      </w:r>
      <w:r w:rsidRPr="0085443D">
        <w:t>719 km mreže niskog napona 0,4 kV, srednjeg napona 10</w:t>
      </w:r>
      <w:r w:rsidR="00191BF4" w:rsidRPr="0085443D">
        <w:t xml:space="preserve"> </w:t>
      </w:r>
      <w:r w:rsidRPr="0085443D">
        <w:t xml:space="preserve">kV dužine 59 km, srednjeg napona 20 kV 318 km, </w:t>
      </w:r>
      <w:r w:rsidR="00191BF4" w:rsidRPr="0085443D">
        <w:t xml:space="preserve">a </w:t>
      </w:r>
      <w:r w:rsidRPr="0085443D">
        <w:t>radi se o nadzemnim vodovima.</w:t>
      </w:r>
    </w:p>
    <w:p w14:paraId="03A95760" w14:textId="77777777" w:rsidR="0049683D" w:rsidRPr="0085443D" w:rsidRDefault="00DC3B52" w:rsidP="00DC3B52">
      <w:pPr>
        <w:jc w:val="both"/>
        <w:rPr>
          <w:rFonts w:cs="Calibri"/>
        </w:rPr>
      </w:pPr>
      <w:r w:rsidRPr="0085443D">
        <w:rPr>
          <w:rFonts w:cs="Calibri"/>
        </w:rPr>
        <w:t xml:space="preserve">Na području opštine Prnjavor u toku je izgradnja mini hidroelektrane (MHE) „Drenova“ na rijeci Vijaci, instalisane snage 120 kW. </w:t>
      </w:r>
    </w:p>
    <w:p w14:paraId="1289B45A" w14:textId="77777777" w:rsidR="00DC3B52" w:rsidRPr="0085443D" w:rsidRDefault="00DC3B52" w:rsidP="00DC3B52">
      <w:pPr>
        <w:jc w:val="both"/>
        <w:rPr>
          <w:rFonts w:cs="Calibri"/>
        </w:rPr>
      </w:pPr>
      <w:r w:rsidRPr="0085443D">
        <w:rPr>
          <w:rFonts w:cs="Calibri"/>
        </w:rPr>
        <w:t xml:space="preserve">Prema podacima za solarne elektrane ZP „Elektrokrajina“ a.d. Banja Luka, RJ „Elektrodistribucija“ Prnjavor, na području koje opslužuje ovo preduzeće do sada su izgrađene dvije solarne elektrane „MSE Prnjavor 1“ </w:t>
      </w:r>
      <w:r w:rsidR="0049683D" w:rsidRPr="0085443D">
        <w:rPr>
          <w:rFonts w:cs="Calibri"/>
        </w:rPr>
        <w:t>kapaciteta</w:t>
      </w:r>
      <w:r w:rsidRPr="0085443D">
        <w:rPr>
          <w:rFonts w:cs="Calibri"/>
        </w:rPr>
        <w:t xml:space="preserve"> 2</w:t>
      </w:r>
      <w:r w:rsidR="00FB259B" w:rsidRPr="0085443D">
        <w:rPr>
          <w:rFonts w:cs="Calibri"/>
        </w:rPr>
        <w:t>8</w:t>
      </w:r>
      <w:r w:rsidRPr="0085443D">
        <w:rPr>
          <w:rFonts w:cs="Calibri"/>
        </w:rPr>
        <w:t xml:space="preserve"> kW i „MSE TRIVAS“</w:t>
      </w:r>
      <w:r w:rsidR="0049683D" w:rsidRPr="0085443D">
        <w:rPr>
          <w:rFonts w:cs="Calibri"/>
        </w:rPr>
        <w:t xml:space="preserve"> kapaciteta</w:t>
      </w:r>
      <w:r w:rsidRPr="0085443D">
        <w:rPr>
          <w:rFonts w:cs="Calibri"/>
        </w:rPr>
        <w:t xml:space="preserve"> 5</w:t>
      </w:r>
      <w:r w:rsidR="00FB259B" w:rsidRPr="0085443D">
        <w:rPr>
          <w:rFonts w:cs="Calibri"/>
        </w:rPr>
        <w:t>5</w:t>
      </w:r>
      <w:r w:rsidRPr="0085443D">
        <w:rPr>
          <w:rFonts w:cs="Calibri"/>
        </w:rPr>
        <w:t xml:space="preserve"> kW. </w:t>
      </w:r>
      <w:r w:rsidR="00FB259B" w:rsidRPr="0085443D">
        <w:rPr>
          <w:rFonts w:cs="Calibri"/>
        </w:rPr>
        <w:t xml:space="preserve">MSE Trivas je tokom 2016. godine proizvela ukupno 48.696 kWh električne energije i kompletna proizvodnja je predana u distributivni sistem Elektrokrajine. MSE Prnjavor 1 je tokom 2016. godine proizvela ukupno 27.389 kWh električne energije, a u distributivni sistem Elektrokrajine je predano 8.410 kWh. </w:t>
      </w:r>
    </w:p>
    <w:p w14:paraId="47D89632" w14:textId="6FDFD5A8" w:rsidR="006B0907" w:rsidRPr="0085443D" w:rsidRDefault="006B0907" w:rsidP="00DC3B52">
      <w:pPr>
        <w:jc w:val="both"/>
        <w:rPr>
          <w:rFonts w:cs="Calibri"/>
        </w:rPr>
      </w:pPr>
      <w:r w:rsidRPr="0085443D">
        <w:rPr>
          <w:rFonts w:cs="Calibri"/>
        </w:rPr>
        <w:t>Pokrivenost je zadovoljavajuća, ali stanje elektro-distributivne mreže nije i potrebna su poboljšanja</w:t>
      </w:r>
      <w:r w:rsidR="00937FA6">
        <w:rPr>
          <w:rFonts w:cs="Calibri"/>
        </w:rPr>
        <w:t xml:space="preserve">, </w:t>
      </w:r>
      <w:r w:rsidR="00937FA6" w:rsidRPr="00937FA6">
        <w:rPr>
          <w:rFonts w:cs="Calibri"/>
          <w:highlight w:val="cyan"/>
        </w:rPr>
        <w:t>posebno u područjima sa većom koncentracijom privrednih subjekata, kako bi se obezbijedilo kontinu</w:t>
      </w:r>
      <w:r w:rsidR="00937FA6">
        <w:rPr>
          <w:rFonts w:cs="Calibri"/>
          <w:highlight w:val="cyan"/>
        </w:rPr>
        <w:t>i</w:t>
      </w:r>
      <w:r w:rsidR="00937FA6" w:rsidRPr="00937FA6">
        <w:rPr>
          <w:rFonts w:cs="Calibri"/>
          <w:highlight w:val="cyan"/>
        </w:rPr>
        <w:t>rano snabdijevanje i izbjegli nepotrebni troškovi u privredi</w:t>
      </w:r>
      <w:r w:rsidRPr="0085443D">
        <w:rPr>
          <w:rFonts w:cs="Calibri"/>
        </w:rPr>
        <w:t>.</w:t>
      </w:r>
    </w:p>
    <w:p w14:paraId="5B06CA2A" w14:textId="77777777" w:rsidR="00DC3B52" w:rsidRPr="0085443D" w:rsidRDefault="00DC3B52" w:rsidP="00DC3B52">
      <w:pPr>
        <w:rPr>
          <w:b/>
          <w:i/>
        </w:rPr>
      </w:pPr>
    </w:p>
    <w:p w14:paraId="2E868A78" w14:textId="77777777" w:rsidR="00DC3B52" w:rsidRPr="0085443D" w:rsidRDefault="00DC3B52" w:rsidP="00DC3B52">
      <w:pPr>
        <w:spacing w:after="80"/>
        <w:rPr>
          <w:b/>
          <w:i/>
          <w:lang w:val="hr-HR"/>
        </w:rPr>
      </w:pPr>
      <w:r w:rsidRPr="0085443D">
        <w:rPr>
          <w:b/>
          <w:i/>
          <w:lang w:val="hr-HR"/>
        </w:rPr>
        <w:t>Javna rasvjeta</w:t>
      </w:r>
    </w:p>
    <w:p w14:paraId="7A7AF5EE" w14:textId="77777777" w:rsidR="00DC3B52" w:rsidRPr="0085443D" w:rsidRDefault="00DC3B52" w:rsidP="00DC3B52">
      <w:pPr>
        <w:jc w:val="both"/>
      </w:pPr>
      <w:r w:rsidRPr="0085443D">
        <w:t>Na području opštine Prnjavor postavljeno je oko 2</w:t>
      </w:r>
      <w:r w:rsidR="00191BF4" w:rsidRPr="0085443D">
        <w:t>.</w:t>
      </w:r>
      <w:r w:rsidRPr="0085443D">
        <w:t>100 svjetiljki za javnu rasvjetu.</w:t>
      </w:r>
    </w:p>
    <w:p w14:paraId="5A39B195" w14:textId="77777777" w:rsidR="00DC3B52" w:rsidRPr="0085443D" w:rsidRDefault="00DC3B52" w:rsidP="00DC3B52">
      <w:pPr>
        <w:spacing w:after="80"/>
        <w:rPr>
          <w:b/>
          <w:i/>
          <w:lang w:val="hr-HR"/>
        </w:rPr>
      </w:pPr>
    </w:p>
    <w:p w14:paraId="725E805C" w14:textId="77777777" w:rsidR="00DC3B52" w:rsidRPr="0085443D" w:rsidRDefault="00DC3B52" w:rsidP="00DC3B52">
      <w:pPr>
        <w:spacing w:after="80"/>
        <w:rPr>
          <w:b/>
          <w:i/>
          <w:lang w:val="hr-HR"/>
        </w:rPr>
      </w:pPr>
      <w:r w:rsidRPr="0085443D">
        <w:rPr>
          <w:b/>
          <w:i/>
          <w:lang w:val="hr-HR"/>
        </w:rPr>
        <w:t>Telekomunikacije, internet i RTV signal</w:t>
      </w:r>
    </w:p>
    <w:p w14:paraId="2E6F4475" w14:textId="77777777" w:rsidR="00694065" w:rsidRPr="0085443D" w:rsidRDefault="00694065" w:rsidP="00694065">
      <w:r w:rsidRPr="0085443D">
        <w:t xml:space="preserve">U periodu implementacije Strategije nije bilo značajnijih promjena, a stanje je zadovoljavajuće. </w:t>
      </w:r>
    </w:p>
    <w:p w14:paraId="7DA1F9DE" w14:textId="77777777" w:rsidR="00DC3B52" w:rsidRPr="0085443D" w:rsidRDefault="00DC3B52" w:rsidP="00DC3B52">
      <w:pPr>
        <w:rPr>
          <w:b/>
          <w:i/>
        </w:rPr>
      </w:pPr>
    </w:p>
    <w:p w14:paraId="49FBB0C9" w14:textId="77777777" w:rsidR="00DC3B52" w:rsidRPr="0085443D" w:rsidRDefault="00DC3B52" w:rsidP="00DC3B52">
      <w:pPr>
        <w:spacing w:after="80"/>
        <w:rPr>
          <w:b/>
          <w:i/>
          <w:lang w:val="hr-HR"/>
        </w:rPr>
      </w:pPr>
      <w:r w:rsidRPr="0085443D">
        <w:rPr>
          <w:b/>
          <w:i/>
          <w:lang w:val="hr-HR"/>
        </w:rPr>
        <w:t xml:space="preserve">Stanje prostorno-planske dokumentacije </w:t>
      </w:r>
    </w:p>
    <w:p w14:paraId="57B9E1AA" w14:textId="14CC0D7D" w:rsidR="00DC3B52" w:rsidRPr="0085443D" w:rsidRDefault="00DC3B52" w:rsidP="00DC3B52">
      <w:pPr>
        <w:jc w:val="both"/>
      </w:pPr>
      <w:r w:rsidRPr="0085443D">
        <w:t xml:space="preserve">Opština Prnjavor ima zadovoljavajuću pokrivenost strateškim i sprovedbenim prostorno-planskim dokumentima (preko 30 regulacionih planova i urbanističkih rješenja). </w:t>
      </w:r>
    </w:p>
    <w:p w14:paraId="11131E03" w14:textId="77777777" w:rsidR="00DC3B52" w:rsidRPr="0085443D" w:rsidRDefault="00DC3B52" w:rsidP="00DC3B52">
      <w:pPr>
        <w:jc w:val="both"/>
      </w:pPr>
      <w:r w:rsidRPr="0085443D">
        <w:t>Usvajanjem Urbanističkog plana „Prnjavor“ teritorija urbanog dijela grada će se proširiti (VI zona obuhvata gradskog građevinskog zemljišta)</w:t>
      </w:r>
      <w:r w:rsidR="008601B5" w:rsidRPr="0085443D">
        <w:t>,</w:t>
      </w:r>
      <w:r w:rsidRPr="0085443D">
        <w:t xml:space="preserve"> te će se stvoriti potreba za izradu novih sprovedbenih prostorno planskih dokumenata.</w:t>
      </w:r>
    </w:p>
    <w:p w14:paraId="2573181B" w14:textId="6432C877" w:rsidR="00DC3B52" w:rsidRPr="0085443D" w:rsidRDefault="00DC3B52" w:rsidP="00DC3B52">
      <w:pPr>
        <w:jc w:val="both"/>
      </w:pPr>
      <w:r w:rsidRPr="0085443D">
        <w:rPr>
          <w:i/>
        </w:rPr>
        <w:t>Prostorni plan opštine Prnjavor</w:t>
      </w:r>
      <w:r w:rsidRPr="0085443D">
        <w:rPr>
          <w:i/>
          <w:lang w:val="en-US"/>
        </w:rPr>
        <w:t xml:space="preserve"> </w:t>
      </w:r>
      <w:r w:rsidRPr="0085443D">
        <w:rPr>
          <w:lang w:val="en-US"/>
        </w:rPr>
        <w:t xml:space="preserve">je </w:t>
      </w:r>
      <w:r w:rsidR="008601B5" w:rsidRPr="0085443D">
        <w:rPr>
          <w:lang w:val="en-US"/>
        </w:rPr>
        <w:t>u</w:t>
      </w:r>
      <w:r w:rsidRPr="0085443D">
        <w:t>svojen 2012. godine za period od 2010. do 2030. godine. Planski dokument obuhvata teritorijalnu površinu opštine od 630 km2 i opisuje stanje organizacije, uređenje i korišćenje prostora (teritorija, stanovništvo, naselja, prirodni uslovi i resursi, infrastruktrur</w:t>
      </w:r>
      <w:r w:rsidR="00CC5A64" w:rsidRPr="0085443D">
        <w:t>a</w:t>
      </w:r>
      <w:r w:rsidRPr="0085443D">
        <w:t xml:space="preserve">, privredne djelatnosti, javne službe i druge društvene djelatnosti), ocjenu stanja, potrebe mogućnosti i ciljeve </w:t>
      </w:r>
      <w:r w:rsidRPr="0085443D">
        <w:lastRenderedPageBreak/>
        <w:t>organizacije, uređenje i korišćenje prostora, zaštitu životne sredine i odredbe i smjernice za sprovođenje plana.</w:t>
      </w:r>
    </w:p>
    <w:p w14:paraId="4B70946E" w14:textId="76311192" w:rsidR="00DC3B52" w:rsidRDefault="00DC3B52" w:rsidP="00DC3B52">
      <w:pPr>
        <w:jc w:val="both"/>
      </w:pPr>
      <w:r w:rsidRPr="0085443D">
        <w:rPr>
          <w:i/>
        </w:rPr>
        <w:t xml:space="preserve">Urbanistički plan „Prnjavor“ </w:t>
      </w:r>
      <w:r w:rsidRPr="0085443D">
        <w:t>je strateški dokum</w:t>
      </w:r>
      <w:r w:rsidR="001E629F" w:rsidRPr="0085443D">
        <w:t>ent koji se donosi na period 2017. do 2037.</w:t>
      </w:r>
      <w:r w:rsidRPr="0085443D">
        <w:t xml:space="preserve"> godina. Trenutno je u fazi izrada nacrta dokumenta - Odluka o pristupanju izradi Urbanističkog plana „Prnjavor“ usvojena na sjednici SO održanoj dana 14.05.2015. godine. </w:t>
      </w:r>
      <w:r w:rsidR="00CC5A64" w:rsidRPr="0085443D">
        <w:t>P</w:t>
      </w:r>
      <w:r w:rsidRPr="0085443D">
        <w:t>lansk</w:t>
      </w:r>
      <w:r w:rsidR="00CC5A64" w:rsidRPr="0085443D">
        <w:t>i</w:t>
      </w:r>
      <w:r w:rsidRPr="0085443D">
        <w:t xml:space="preserve"> dokument obuhvata urbano područje Prnjavor na površini od 20,85 km2 ili 2</w:t>
      </w:r>
      <w:r w:rsidR="00CC5A64" w:rsidRPr="0085443D">
        <w:t>.</w:t>
      </w:r>
      <w:r w:rsidRPr="0085443D">
        <w:t xml:space="preserve">084,8 ha. </w:t>
      </w:r>
      <w:r w:rsidR="00937FA6">
        <w:t>O</w:t>
      </w:r>
      <w:r w:rsidRPr="0085443D">
        <w:t>buhvat Urbanističkog plana čini 3,31 % teritorije. Planskim rješenjima i mjerama predviđeno je poboljšanje stanja životne sredine – izgradnja kanalizacionog sistema i postrojenja za prečišćavanje otpadnih voda, ure</w:t>
      </w:r>
      <w:r w:rsidR="00CC5A64" w:rsidRPr="0085443D">
        <w:t>đenje vodotokova, organizovano</w:t>
      </w:r>
      <w:r w:rsidRPr="0085443D">
        <w:t xml:space="preserve"> sakupljanje komunalnog otpada i izgradnja centra za sakupljanje i razdvajanje otpada. Predložena je izgradnja novih saobraćajnica koje bi smanjile inte</w:t>
      </w:r>
      <w:r w:rsidR="00CC5A64" w:rsidRPr="0085443D">
        <w:t>n</w:t>
      </w:r>
      <w:r w:rsidRPr="0085443D">
        <w:t>zitet saobraćaja u užem području grada. U oblasti prostorne organizacije privrede u prednacrtu Urbanističkog plana „Prnjavor“ predlaže se izbjegavanje lociranja kapaciteta industrije koje imaju veliki uticaj na životnu sredinu.</w:t>
      </w:r>
    </w:p>
    <w:p w14:paraId="38FB2AE2" w14:textId="2B83EB33" w:rsidR="002A45A2" w:rsidRPr="0085443D" w:rsidRDefault="002A45A2" w:rsidP="00DC3B52">
      <w:pPr>
        <w:jc w:val="both"/>
      </w:pPr>
      <w:r w:rsidRPr="00937FA6">
        <w:rPr>
          <w:highlight w:val="cyan"/>
        </w:rPr>
        <w:t xml:space="preserve">U narednom periodu je </w:t>
      </w:r>
      <w:r w:rsidR="00937FA6">
        <w:rPr>
          <w:highlight w:val="cyan"/>
        </w:rPr>
        <w:t>p</w:t>
      </w:r>
      <w:r w:rsidRPr="00937FA6">
        <w:rPr>
          <w:highlight w:val="cyan"/>
        </w:rPr>
        <w:t>lanovima kojima ističe rok potrebno izvršiti reviziju i dopunu kao i finalizirati planove čija je izrada inicirana ili je u toku</w:t>
      </w:r>
      <w:r w:rsidR="00937FA6">
        <w:t>.</w:t>
      </w:r>
    </w:p>
    <w:p w14:paraId="16A901A9" w14:textId="77777777" w:rsidR="00674AF3" w:rsidRPr="0085443D" w:rsidRDefault="00674AF3" w:rsidP="00DC3B52">
      <w:pPr>
        <w:jc w:val="both"/>
      </w:pPr>
    </w:p>
    <w:p w14:paraId="6CB176E6" w14:textId="77777777" w:rsidR="00674AF3" w:rsidRPr="0085443D" w:rsidRDefault="00674AF3" w:rsidP="00674AF3">
      <w:pPr>
        <w:spacing w:after="80"/>
        <w:jc w:val="both"/>
        <w:rPr>
          <w:b/>
          <w:i/>
          <w:lang w:val="hr-HR"/>
        </w:rPr>
      </w:pPr>
      <w:r w:rsidRPr="0085443D">
        <w:rPr>
          <w:b/>
          <w:i/>
          <w:lang w:val="hr-HR"/>
        </w:rPr>
        <w:t>Vodovodna mreža, potrošnja vode i projekcija potrebnih količina vode</w:t>
      </w:r>
    </w:p>
    <w:p w14:paraId="6C15AA31" w14:textId="664921B5" w:rsidR="00674AF3" w:rsidRPr="0085443D" w:rsidRDefault="00674AF3" w:rsidP="00674AF3">
      <w:pPr>
        <w:widowControl w:val="0"/>
        <w:overflowPunct w:val="0"/>
        <w:autoSpaceDE w:val="0"/>
        <w:autoSpaceDN w:val="0"/>
        <w:adjustRightInd w:val="0"/>
        <w:jc w:val="both"/>
        <w:rPr>
          <w:rFonts w:eastAsia="ArialMT" w:cs="Calibri"/>
          <w:lang w:val="sr-Cyrl-CS"/>
        </w:rPr>
      </w:pPr>
      <w:r w:rsidRPr="0085443D">
        <w:rPr>
          <w:rFonts w:eastAsia="ArialMT" w:cs="Calibri"/>
          <w:lang w:val="sr-Cyrl-CS"/>
        </w:rPr>
        <w:t xml:space="preserve">Usluge vodosnabdijevanja na području opštine Prnjavor su u ingerenciji komunalnog preduzeća </w:t>
      </w:r>
      <w:r w:rsidRPr="0085443D">
        <w:rPr>
          <w:rFonts w:eastAsia="ArialMT" w:cs="Calibri"/>
          <w:lang w:val="hr-HR"/>
        </w:rPr>
        <w:t>„</w:t>
      </w:r>
      <w:r w:rsidRPr="0085443D">
        <w:rPr>
          <w:rFonts w:eastAsia="ArialMT" w:cs="Calibri"/>
          <w:lang w:val="sr-Cyrl-CS"/>
        </w:rPr>
        <w:t xml:space="preserve">Vodovod” a.d Prnjavor. </w:t>
      </w:r>
      <w:r w:rsidR="0050616B" w:rsidRPr="0085443D">
        <w:rPr>
          <w:rFonts w:eastAsia="ArialMT" w:cs="Calibri"/>
          <w:lang w:val="en-US"/>
        </w:rPr>
        <w:t>U</w:t>
      </w:r>
      <w:r w:rsidRPr="0085443D">
        <w:rPr>
          <w:rFonts w:eastAsia="ArialMT" w:cs="Calibri"/>
          <w:lang w:val="sr-Cyrl-CS"/>
        </w:rPr>
        <w:t xml:space="preserve"> pogledu organizovanog snabdijevanja vodom područja opštine Prnjavor ne može se govoriti o postojanju jedinstvenog vodovodnog opštinskog sistema, jer su u funkciji i manji lokalni sistemi. </w:t>
      </w:r>
      <w:r w:rsidR="005E4835" w:rsidRPr="005E4835">
        <w:rPr>
          <w:highlight w:val="cyan"/>
        </w:rPr>
        <w:t>U 2015. godini pristup kontrolisanoj vodi za piće ima 51% domaćinstava na području opštine, a na području grada 87%.</w:t>
      </w:r>
      <w:r w:rsidR="005E4835" w:rsidRPr="0085443D">
        <w:rPr>
          <w:rFonts w:eastAsia="ArialMT" w:cs="Calibri"/>
          <w:lang w:val="sr-Cyrl-CS"/>
        </w:rPr>
        <w:t xml:space="preserve"> </w:t>
      </w:r>
      <w:r w:rsidRPr="0085443D">
        <w:rPr>
          <w:rFonts w:eastAsia="ArialMT" w:cs="Calibri"/>
          <w:lang w:val="sr-Cyrl-CS"/>
        </w:rPr>
        <w:t>Sa gradskog vodovodnog sistema snabdijevaju se opštinski centar Prnjavor i manja naselja Ratkovac, Konjuhovci, Segići, Lužani.</w:t>
      </w:r>
      <w:r w:rsidRPr="0085443D">
        <w:rPr>
          <w:rFonts w:cs="Calibri"/>
          <w:lang w:val="sr-Cyrl-CS"/>
        </w:rPr>
        <w:t xml:space="preserve"> Sa aspekta vodosnabdijevanja za opštinu Prnjavor najznačajnija je vještačka akumulacija – jezero Drenova.</w:t>
      </w:r>
      <w:r w:rsidRPr="0085443D">
        <w:rPr>
          <w:rFonts w:cs="Calibri"/>
          <w:shd w:val="clear" w:color="auto" w:fill="FFFFFF"/>
          <w:lang w:val="sr-Cyrl-CS"/>
        </w:rPr>
        <w:t xml:space="preserve"> Jezero je udaljeno 6 km od grada i zahvata površinu od 110 ha,  nalazi se u mjesnom području Drenove i Donjih </w:t>
      </w:r>
      <w:r w:rsidRPr="0085443D">
        <w:rPr>
          <w:rStyle w:val="apple-converted-space"/>
          <w:rFonts w:cs="Calibri"/>
          <w:shd w:val="clear" w:color="auto" w:fill="FFFFFF"/>
          <w:lang w:val="sr-Cyrl-CS"/>
        </w:rPr>
        <w:t>Vijačana</w:t>
      </w:r>
      <w:r w:rsidRPr="0085443D">
        <w:rPr>
          <w:rFonts w:cs="Calibri"/>
          <w:shd w:val="clear" w:color="auto" w:fill="FFFFFF"/>
          <w:lang w:val="sr-Cyrl-CS"/>
        </w:rPr>
        <w:t xml:space="preserve">. </w:t>
      </w:r>
      <w:r w:rsidRPr="0085443D">
        <w:rPr>
          <w:rFonts w:eastAsia="ArialMT" w:cs="Calibri"/>
          <w:lang w:val="sr-Cyrl-CS"/>
        </w:rPr>
        <w:t>Akumulacija Drenova je napravljena 1976. godine, podizanjem brane u gornjem toku rječice Vijake, kao multifunkcionalni vodoprivredni objekat, te</w:t>
      </w:r>
      <w:r w:rsidRPr="0085443D">
        <w:rPr>
          <w:rFonts w:cs="Calibri"/>
          <w:lang w:val="sr-Cyrl-CS"/>
        </w:rPr>
        <w:t xml:space="preserve"> </w:t>
      </w:r>
      <w:r w:rsidRPr="0085443D">
        <w:rPr>
          <w:rFonts w:eastAsia="ArialMT" w:cs="Calibri"/>
          <w:lang w:val="sr-Cyrl-CS"/>
        </w:rPr>
        <w:t>osim izvora pitke vode za Prnjavor ima ulogu zaštite od štetnog djelovanja voda, kao i svojevrstan prostor za sportsko-rekreativni ribolov i uzgoj ribe. Ispitivanja kvaliteta voda aku</w:t>
      </w:r>
      <w:r w:rsidR="00162488">
        <w:rPr>
          <w:rFonts w:eastAsia="ArialMT" w:cs="Calibri"/>
          <w:lang w:val="sr-Cyrl-CS"/>
        </w:rPr>
        <w:t xml:space="preserve">mulacije Drenova pokazuju da </w:t>
      </w:r>
      <w:r w:rsidR="00162488">
        <w:rPr>
          <w:rFonts w:eastAsia="ArialMT" w:cs="Calibri"/>
        </w:rPr>
        <w:t xml:space="preserve">su prisutni </w:t>
      </w:r>
      <w:r w:rsidRPr="0085443D">
        <w:rPr>
          <w:rFonts w:eastAsia="ArialMT" w:cs="Calibri"/>
          <w:lang w:val="sr-Cyrl-CS"/>
        </w:rPr>
        <w:t>negativ</w:t>
      </w:r>
      <w:r w:rsidR="00162488">
        <w:rPr>
          <w:rFonts w:eastAsia="ArialMT" w:cs="Calibri"/>
        </w:rPr>
        <w:t>ni</w:t>
      </w:r>
      <w:r w:rsidRPr="0085443D">
        <w:rPr>
          <w:rFonts w:eastAsia="ArialMT" w:cs="Calibri"/>
          <w:lang w:val="sr-Cyrl-CS"/>
        </w:rPr>
        <w:t xml:space="preserve"> </w:t>
      </w:r>
      <w:r w:rsidRPr="00162488">
        <w:rPr>
          <w:rFonts w:eastAsia="ArialMT" w:cs="Calibri"/>
          <w:highlight w:val="cyan"/>
          <w:lang w:val="sr-Cyrl-CS"/>
        </w:rPr>
        <w:t>uticaj</w:t>
      </w:r>
      <w:r w:rsidR="00162488">
        <w:rPr>
          <w:rFonts w:eastAsia="ArialMT" w:cs="Calibri"/>
          <w:highlight w:val="cyan"/>
        </w:rPr>
        <w:t>i</w:t>
      </w:r>
      <w:r w:rsidRPr="00162488">
        <w:rPr>
          <w:rFonts w:eastAsia="ArialMT" w:cs="Calibri"/>
          <w:highlight w:val="cyan"/>
          <w:lang w:val="sr-Cyrl-CS"/>
        </w:rPr>
        <w:t xml:space="preserve"> </w:t>
      </w:r>
      <w:r w:rsidR="00162488" w:rsidRPr="00162488">
        <w:rPr>
          <w:rFonts w:eastAsia="ArialMT" w:cs="Calibri"/>
          <w:highlight w:val="cyan"/>
        </w:rPr>
        <w:t xml:space="preserve">zbog čega bi u narednom periodu trebalo posvetiti veću pažnju zaštiti </w:t>
      </w:r>
      <w:r w:rsidRPr="00162488">
        <w:rPr>
          <w:rFonts w:eastAsia="ArialMT" w:cs="Calibri"/>
          <w:highlight w:val="cyan"/>
          <w:lang w:val="sr-Cyrl-CS"/>
        </w:rPr>
        <w:t>akumulacije Drenova.</w:t>
      </w:r>
      <w:r w:rsidR="005E4835">
        <w:rPr>
          <w:rFonts w:eastAsia="ArialMT" w:cs="Calibri"/>
        </w:rPr>
        <w:t xml:space="preserve"> </w:t>
      </w:r>
      <w:r w:rsidRPr="0085443D">
        <w:rPr>
          <w:rFonts w:eastAsia="ArialMT" w:cs="Calibri"/>
          <w:lang w:val="sr-Cyrl-CS"/>
        </w:rPr>
        <w:t>Usljed nedostatka koordiniranog i planskog</w:t>
      </w:r>
      <w:r w:rsidRPr="0085443D">
        <w:rPr>
          <w:rFonts w:cs="Calibri"/>
          <w:lang w:val="sr-Cyrl-CS"/>
        </w:rPr>
        <w:t xml:space="preserve"> </w:t>
      </w:r>
      <w:r w:rsidRPr="0085443D">
        <w:rPr>
          <w:rFonts w:eastAsia="ArialMT" w:cs="Calibri"/>
          <w:lang w:val="sr-Cyrl-CS"/>
        </w:rPr>
        <w:t>rada same akumulacije, opština Prnjavor tokom sušnih perioda godine može se naći u</w:t>
      </w:r>
      <w:r w:rsidRPr="0085443D">
        <w:rPr>
          <w:rFonts w:cs="Calibri"/>
          <w:lang w:val="sr-Cyrl-CS"/>
        </w:rPr>
        <w:t xml:space="preserve"> </w:t>
      </w:r>
      <w:r w:rsidRPr="0085443D">
        <w:rPr>
          <w:rFonts w:eastAsia="ArialMT" w:cs="Calibri"/>
          <w:lang w:val="sr-Cyrl-CS"/>
        </w:rPr>
        <w:t>situaciji nedostatka potrebnih količina vode.</w:t>
      </w:r>
      <w:r w:rsidR="0050616B" w:rsidRPr="0085443D">
        <w:rPr>
          <w:rFonts w:eastAsia="ArialMT" w:cs="Calibri"/>
          <w:lang w:val="en-US"/>
        </w:rPr>
        <w:t xml:space="preserve"> </w:t>
      </w:r>
      <w:r w:rsidRPr="0085443D">
        <w:rPr>
          <w:rFonts w:eastAsia="ArialMT" w:cs="Calibri"/>
          <w:lang w:val="sr-Cyrl-CS"/>
        </w:rPr>
        <w:t>Zahvaćena voda akumulacije gravitaciono se transportuje do postrojenja za prečišćavanje vode za piće</w:t>
      </w:r>
      <w:r w:rsidR="0050616B" w:rsidRPr="0085443D">
        <w:rPr>
          <w:rFonts w:eastAsia="ArialMT" w:cs="Calibri"/>
          <w:lang w:val="en-US"/>
        </w:rPr>
        <w:t>,</w:t>
      </w:r>
      <w:r w:rsidRPr="0085443D">
        <w:rPr>
          <w:rFonts w:eastAsia="ArialMT" w:cs="Calibri"/>
          <w:lang w:val="sr-Cyrl-CS"/>
        </w:rPr>
        <w:t xml:space="preserve"> jer voda iz akumulacije ne zadovoljava higijensko-tehničke uslove.</w:t>
      </w:r>
    </w:p>
    <w:p w14:paraId="162EFA89" w14:textId="77777777" w:rsidR="00674AF3" w:rsidRPr="0085443D" w:rsidRDefault="00674AF3" w:rsidP="00674AF3">
      <w:pPr>
        <w:autoSpaceDE w:val="0"/>
        <w:autoSpaceDN w:val="0"/>
        <w:adjustRightInd w:val="0"/>
        <w:jc w:val="both"/>
        <w:rPr>
          <w:rFonts w:eastAsia="ArialMT" w:cs="Calibri"/>
          <w:lang w:val="sr-Cyrl-CS"/>
        </w:rPr>
      </w:pPr>
      <w:r w:rsidRPr="0085443D">
        <w:rPr>
          <w:rFonts w:eastAsia="ArialMT" w:cs="Calibri"/>
          <w:lang w:val="sr-Cyrl-CS"/>
        </w:rPr>
        <w:t xml:space="preserve">Sistem vodosnabdijevanja grada Prnjavora </w:t>
      </w:r>
      <w:r w:rsidR="0050616B" w:rsidRPr="0085443D">
        <w:rPr>
          <w:rFonts w:eastAsia="ArialMT" w:cs="Calibri"/>
          <w:lang w:val="en-US"/>
        </w:rPr>
        <w:t>čine</w:t>
      </w:r>
      <w:r w:rsidRPr="0085443D">
        <w:rPr>
          <w:rFonts w:eastAsia="ArialMT" w:cs="Calibri"/>
          <w:lang w:val="sr-Cyrl-CS"/>
        </w:rPr>
        <w:t>:</w:t>
      </w:r>
    </w:p>
    <w:p w14:paraId="234E206E" w14:textId="77777777" w:rsidR="00674AF3" w:rsidRPr="0085443D" w:rsidRDefault="00674AF3" w:rsidP="009901CE">
      <w:pPr>
        <w:numPr>
          <w:ilvl w:val="0"/>
          <w:numId w:val="7"/>
        </w:numPr>
        <w:autoSpaceDE w:val="0"/>
        <w:autoSpaceDN w:val="0"/>
        <w:adjustRightInd w:val="0"/>
        <w:ind w:left="567" w:hanging="283"/>
        <w:jc w:val="both"/>
        <w:rPr>
          <w:rFonts w:eastAsia="ArialMT" w:cs="Calibri"/>
          <w:lang w:val="sr-Cyrl-CS"/>
        </w:rPr>
      </w:pPr>
      <w:r w:rsidRPr="0085443D">
        <w:rPr>
          <w:rFonts w:eastAsia="ArialMT" w:cs="Calibri"/>
          <w:lang w:val="sr-Cyrl-CS"/>
        </w:rPr>
        <w:t>izvorišta – akumulacija „Drenova“, kapaciteta 100 I/s,</w:t>
      </w:r>
    </w:p>
    <w:p w14:paraId="073EDA74" w14:textId="77777777" w:rsidR="00674AF3" w:rsidRPr="0085443D" w:rsidRDefault="00674AF3" w:rsidP="009901CE">
      <w:pPr>
        <w:numPr>
          <w:ilvl w:val="0"/>
          <w:numId w:val="7"/>
        </w:numPr>
        <w:autoSpaceDE w:val="0"/>
        <w:autoSpaceDN w:val="0"/>
        <w:adjustRightInd w:val="0"/>
        <w:ind w:left="567" w:hanging="283"/>
        <w:jc w:val="both"/>
        <w:rPr>
          <w:rFonts w:eastAsia="ArialMT" w:cs="Calibri"/>
          <w:lang w:val="sr-Cyrl-CS"/>
        </w:rPr>
      </w:pPr>
      <w:r w:rsidRPr="0085443D">
        <w:rPr>
          <w:rFonts w:eastAsia="ArialMT" w:cs="Calibri"/>
          <w:lang w:val="sr-Cyrl-CS"/>
        </w:rPr>
        <w:t>transportni cjevovod, dužine 3</w:t>
      </w:r>
      <w:r w:rsidR="0050616B" w:rsidRPr="0085443D">
        <w:rPr>
          <w:rFonts w:eastAsia="ArialMT" w:cs="Calibri"/>
          <w:lang w:val="en-US"/>
        </w:rPr>
        <w:t>.</w:t>
      </w:r>
      <w:r w:rsidRPr="0085443D">
        <w:rPr>
          <w:rFonts w:eastAsia="ArialMT" w:cs="Calibri"/>
          <w:lang w:val="sr-Cyrl-CS"/>
        </w:rPr>
        <w:t>151 m,</w:t>
      </w:r>
    </w:p>
    <w:p w14:paraId="114F5A5A" w14:textId="77777777" w:rsidR="00674AF3" w:rsidRPr="0085443D" w:rsidRDefault="00674AF3" w:rsidP="009901CE">
      <w:pPr>
        <w:numPr>
          <w:ilvl w:val="0"/>
          <w:numId w:val="7"/>
        </w:numPr>
        <w:autoSpaceDE w:val="0"/>
        <w:autoSpaceDN w:val="0"/>
        <w:adjustRightInd w:val="0"/>
        <w:ind w:left="567" w:hanging="283"/>
        <w:jc w:val="both"/>
        <w:rPr>
          <w:rFonts w:eastAsia="ArialMT" w:cs="Calibri"/>
          <w:lang w:val="sr-Cyrl-CS"/>
        </w:rPr>
      </w:pPr>
      <w:r w:rsidRPr="0085443D">
        <w:rPr>
          <w:rFonts w:eastAsia="ArialMT" w:cs="Calibri"/>
          <w:lang w:val="sr-Cyrl-CS"/>
        </w:rPr>
        <w:t>postrojenja za prečišćavanje vode,</w:t>
      </w:r>
    </w:p>
    <w:p w14:paraId="2C49E9BE" w14:textId="77777777" w:rsidR="00674AF3" w:rsidRPr="0085443D" w:rsidRDefault="00674AF3" w:rsidP="009901CE">
      <w:pPr>
        <w:numPr>
          <w:ilvl w:val="0"/>
          <w:numId w:val="7"/>
        </w:numPr>
        <w:autoSpaceDE w:val="0"/>
        <w:autoSpaceDN w:val="0"/>
        <w:adjustRightInd w:val="0"/>
        <w:ind w:left="567" w:hanging="283"/>
        <w:jc w:val="both"/>
        <w:rPr>
          <w:rFonts w:eastAsia="ArialMT" w:cs="Calibri"/>
          <w:lang w:val="sr-Cyrl-CS"/>
        </w:rPr>
      </w:pPr>
      <w:r w:rsidRPr="0085443D">
        <w:rPr>
          <w:rFonts w:eastAsia="ArialMT" w:cs="Calibri"/>
          <w:lang w:val="sr-Cyrl-CS"/>
        </w:rPr>
        <w:t>sabirni rezervoar sa pumpnom stanicom,</w:t>
      </w:r>
    </w:p>
    <w:p w14:paraId="2A98D699" w14:textId="77777777" w:rsidR="00674AF3" w:rsidRPr="0085443D" w:rsidRDefault="00674AF3" w:rsidP="009901CE">
      <w:pPr>
        <w:numPr>
          <w:ilvl w:val="0"/>
          <w:numId w:val="7"/>
        </w:numPr>
        <w:autoSpaceDE w:val="0"/>
        <w:autoSpaceDN w:val="0"/>
        <w:adjustRightInd w:val="0"/>
        <w:ind w:left="567" w:hanging="283"/>
        <w:jc w:val="both"/>
        <w:rPr>
          <w:rFonts w:eastAsia="ArialMT" w:cs="Calibri"/>
          <w:lang w:val="sr-Cyrl-CS"/>
        </w:rPr>
      </w:pPr>
      <w:r w:rsidRPr="0085443D">
        <w:rPr>
          <w:rFonts w:eastAsia="ArialMT" w:cs="Calibri"/>
          <w:lang w:val="sr-Cyrl-CS"/>
        </w:rPr>
        <w:t>transportni-potisni cjevovod od pumpne stanice do rezervoara „Cer“,</w:t>
      </w:r>
      <w:r w:rsidR="0050616B" w:rsidRPr="0085443D">
        <w:rPr>
          <w:rFonts w:eastAsia="ArialMT" w:cs="Calibri"/>
        </w:rPr>
        <w:t xml:space="preserve"> </w:t>
      </w:r>
      <w:r w:rsidRPr="0085443D">
        <w:rPr>
          <w:rFonts w:eastAsia="ArialMT" w:cs="Calibri"/>
          <w:lang w:val="sr-Cyrl-CS"/>
        </w:rPr>
        <w:t>dužine 3</w:t>
      </w:r>
      <w:r w:rsidR="0050616B" w:rsidRPr="0085443D">
        <w:rPr>
          <w:rFonts w:eastAsia="ArialMT" w:cs="Calibri"/>
        </w:rPr>
        <w:t>.</w:t>
      </w:r>
      <w:r w:rsidRPr="0085443D">
        <w:rPr>
          <w:rFonts w:eastAsia="ArialMT" w:cs="Calibri"/>
          <w:lang w:val="sr-Cyrl-CS"/>
        </w:rPr>
        <w:t>600 m,</w:t>
      </w:r>
    </w:p>
    <w:p w14:paraId="446D6461" w14:textId="77777777" w:rsidR="00674AF3" w:rsidRPr="0085443D" w:rsidRDefault="00674AF3" w:rsidP="009901CE">
      <w:pPr>
        <w:numPr>
          <w:ilvl w:val="0"/>
          <w:numId w:val="7"/>
        </w:numPr>
        <w:autoSpaceDE w:val="0"/>
        <w:autoSpaceDN w:val="0"/>
        <w:adjustRightInd w:val="0"/>
        <w:ind w:left="567" w:hanging="283"/>
        <w:jc w:val="both"/>
        <w:rPr>
          <w:rFonts w:eastAsia="ArialMT" w:cs="Calibri"/>
          <w:lang w:val="sr-Cyrl-CS"/>
        </w:rPr>
      </w:pPr>
      <w:r w:rsidRPr="0085443D">
        <w:rPr>
          <w:rFonts w:eastAsia="ArialMT" w:cs="Calibri"/>
          <w:lang w:val="sr-Cyrl-CS"/>
        </w:rPr>
        <w:t>rezervoar „Cer“, V=2*1</w:t>
      </w:r>
      <w:r w:rsidR="0050616B" w:rsidRPr="0085443D">
        <w:rPr>
          <w:rFonts w:eastAsia="ArialMT" w:cs="Calibri"/>
        </w:rPr>
        <w:t>.</w:t>
      </w:r>
      <w:r w:rsidRPr="0085443D">
        <w:rPr>
          <w:rFonts w:eastAsia="ArialMT" w:cs="Calibri"/>
          <w:lang w:val="sr-Cyrl-CS"/>
        </w:rPr>
        <w:t>000 m</w:t>
      </w:r>
      <w:r w:rsidRPr="0085443D">
        <w:rPr>
          <w:rFonts w:eastAsia="ArialMT" w:cs="Calibri"/>
          <w:vertAlign w:val="superscript"/>
          <w:lang w:val="sr-Cyrl-CS"/>
        </w:rPr>
        <w:t>3</w:t>
      </w:r>
      <w:r w:rsidRPr="0085443D">
        <w:rPr>
          <w:rFonts w:eastAsia="ArialMT" w:cs="Calibri"/>
          <w:lang w:val="sr-Cyrl-CS"/>
        </w:rPr>
        <w:t>,</w:t>
      </w:r>
    </w:p>
    <w:p w14:paraId="33B0AAF1" w14:textId="77777777" w:rsidR="00674AF3" w:rsidRPr="0085443D" w:rsidRDefault="00674AF3" w:rsidP="009901CE">
      <w:pPr>
        <w:numPr>
          <w:ilvl w:val="0"/>
          <w:numId w:val="7"/>
        </w:numPr>
        <w:autoSpaceDE w:val="0"/>
        <w:autoSpaceDN w:val="0"/>
        <w:adjustRightInd w:val="0"/>
        <w:ind w:left="567" w:hanging="283"/>
        <w:jc w:val="both"/>
        <w:rPr>
          <w:rFonts w:eastAsia="ArialMT" w:cs="Calibri"/>
          <w:lang w:val="sr-Cyrl-CS"/>
        </w:rPr>
      </w:pPr>
      <w:r w:rsidRPr="0085443D">
        <w:rPr>
          <w:rFonts w:eastAsia="ArialMT" w:cs="Calibri"/>
          <w:lang w:val="sr-Cyrl-CS"/>
        </w:rPr>
        <w:t>distributivne mreže, ukupno 57</w:t>
      </w:r>
      <w:r w:rsidR="0050616B" w:rsidRPr="0085443D">
        <w:rPr>
          <w:rFonts w:eastAsia="ArialMT" w:cs="Calibri"/>
        </w:rPr>
        <w:t>.</w:t>
      </w:r>
      <w:r w:rsidRPr="0085443D">
        <w:rPr>
          <w:rFonts w:eastAsia="ArialMT" w:cs="Calibri"/>
          <w:lang w:val="sr-Cyrl-CS"/>
        </w:rPr>
        <w:t xml:space="preserve">375,17 m. </w:t>
      </w:r>
    </w:p>
    <w:p w14:paraId="1B9AA0E4" w14:textId="77777777" w:rsidR="00FE7BA2" w:rsidRPr="0085443D" w:rsidRDefault="00674AF3" w:rsidP="00FE7BA2">
      <w:pPr>
        <w:jc w:val="both"/>
      </w:pPr>
      <w:r w:rsidRPr="0085443D">
        <w:rPr>
          <w:rFonts w:eastAsia="ArialMT" w:cs="Calibri"/>
          <w:lang w:val="sr-Cyrl-CS"/>
        </w:rPr>
        <w:t xml:space="preserve">Projekat vodosnabdijevanja sa izvorišta Povelič je u završnoj fazi nakon čega će se pristupiti priključivanju </w:t>
      </w:r>
      <w:r w:rsidR="001E629F" w:rsidRPr="0085443D">
        <w:rPr>
          <w:rFonts w:eastAsia="ArialMT" w:cs="Calibri"/>
        </w:rPr>
        <w:t xml:space="preserve">ostatka </w:t>
      </w:r>
      <w:r w:rsidRPr="0085443D">
        <w:rPr>
          <w:rFonts w:eastAsia="ArialMT" w:cs="Calibri"/>
          <w:lang w:val="sr-Cyrl-CS"/>
        </w:rPr>
        <w:t xml:space="preserve">grada Prnjavor </w:t>
      </w:r>
      <w:r w:rsidR="0050616B" w:rsidRPr="0085443D">
        <w:rPr>
          <w:rFonts w:eastAsia="ArialMT" w:cs="Calibri"/>
        </w:rPr>
        <w:t xml:space="preserve">na </w:t>
      </w:r>
      <w:r w:rsidR="0050616B" w:rsidRPr="0085443D">
        <w:rPr>
          <w:rFonts w:eastAsia="ArialMT" w:cs="Calibri"/>
          <w:lang w:val="sr-Cyrl-CS"/>
        </w:rPr>
        <w:t>ovaj sistem</w:t>
      </w:r>
      <w:r w:rsidRPr="0085443D">
        <w:rPr>
          <w:rFonts w:eastAsia="ArialMT" w:cs="Calibri"/>
          <w:lang w:val="sr-Cyrl-CS"/>
        </w:rPr>
        <w:t xml:space="preserve"> vodosnabdijevanja.</w:t>
      </w:r>
      <w:r w:rsidR="00FE7BA2" w:rsidRPr="0085443D">
        <w:rPr>
          <w:rFonts w:eastAsia="ArialMT" w:cs="Calibri"/>
        </w:rPr>
        <w:t xml:space="preserve"> </w:t>
      </w:r>
      <w:r w:rsidR="00FE7BA2" w:rsidRPr="0085443D">
        <w:rPr>
          <w:rFonts w:cs="Arial"/>
          <w:lang w:val="hr-HR"/>
        </w:rPr>
        <w:t xml:space="preserve">Projekat izgradnje vodovoda "Povelič" za 6 mjesnih zajednica opštine Prnjavor je višegodišnji projekat. Dio grada spojen je na vodovod "Povelič" u avgustu 2016. godine, a radovi su nastavljeni za ostatak grada. Ukupan broj priključaka za 6 mjesnih </w:t>
      </w:r>
      <w:r w:rsidR="00FE7BA2" w:rsidRPr="0085443D">
        <w:rPr>
          <w:rFonts w:cs="Arial"/>
          <w:lang w:val="hr-HR"/>
        </w:rPr>
        <w:lastRenderedPageBreak/>
        <w:t>zajednica sjevernog dijela opštine na ovaj vodovod krajem 2016. godine je oko 2.000, a dužina mreže 320 km. Trenutna pokrivenost gradskog (urbanog) područja vodovodom 87%.</w:t>
      </w:r>
      <w:r w:rsidR="00FE7BA2" w:rsidRPr="0085443D">
        <w:rPr>
          <w:rStyle w:val="FootnoteReference"/>
          <w:rFonts w:cs="Arial"/>
          <w:lang w:val="hr-HR"/>
        </w:rPr>
        <w:footnoteReference w:id="14"/>
      </w:r>
      <w:r w:rsidR="00FE7BA2" w:rsidRPr="0085443D">
        <w:rPr>
          <w:rFonts w:cs="Arial"/>
          <w:lang w:val="hr-HR"/>
        </w:rPr>
        <w:t xml:space="preserve"> </w:t>
      </w:r>
    </w:p>
    <w:p w14:paraId="161B0D4B" w14:textId="77777777" w:rsidR="0050616B" w:rsidRPr="0085443D" w:rsidRDefault="0050616B" w:rsidP="00674AF3">
      <w:pPr>
        <w:widowControl w:val="0"/>
        <w:overflowPunct w:val="0"/>
        <w:autoSpaceDE w:val="0"/>
        <w:autoSpaceDN w:val="0"/>
        <w:adjustRightInd w:val="0"/>
        <w:jc w:val="both"/>
        <w:rPr>
          <w:rFonts w:eastAsia="ArialMT" w:cs="Calibri"/>
        </w:rPr>
      </w:pPr>
      <w:r w:rsidRPr="0085443D">
        <w:rPr>
          <w:rFonts w:eastAsia="ArialMT" w:cs="Calibri"/>
        </w:rPr>
        <w:t>Takođe, treba naglasiti i sljedeće:</w:t>
      </w:r>
    </w:p>
    <w:p w14:paraId="26D9AE25" w14:textId="77777777" w:rsidR="00674AF3" w:rsidRPr="0085443D" w:rsidRDefault="0050616B" w:rsidP="009901CE">
      <w:pPr>
        <w:widowControl w:val="0"/>
        <w:numPr>
          <w:ilvl w:val="0"/>
          <w:numId w:val="8"/>
        </w:numPr>
        <w:tabs>
          <w:tab w:val="left" w:pos="-284"/>
        </w:tabs>
        <w:autoSpaceDE w:val="0"/>
        <w:autoSpaceDN w:val="0"/>
        <w:adjustRightInd w:val="0"/>
        <w:ind w:left="284" w:hanging="284"/>
        <w:jc w:val="both"/>
        <w:rPr>
          <w:rFonts w:cs="Calibri"/>
          <w:lang w:val="sr-Cyrl-CS"/>
        </w:rPr>
      </w:pPr>
      <w:r w:rsidRPr="0085443D">
        <w:rPr>
          <w:rFonts w:cs="Calibri"/>
        </w:rPr>
        <w:t>N</w:t>
      </w:r>
      <w:r w:rsidR="00674AF3" w:rsidRPr="0085443D">
        <w:rPr>
          <w:rFonts w:cs="Calibri"/>
          <w:lang w:val="sr-Cyrl-CS"/>
        </w:rPr>
        <w:t>epostojanje</w:t>
      </w:r>
      <w:r w:rsidR="00674AF3" w:rsidRPr="0085443D">
        <w:rPr>
          <w:rFonts w:cs="Calibri"/>
          <w:lang w:val="hr-HR"/>
        </w:rPr>
        <w:t xml:space="preserve"> </w:t>
      </w:r>
      <w:r w:rsidR="00674AF3" w:rsidRPr="0085443D">
        <w:rPr>
          <w:rFonts w:cs="Calibri"/>
          <w:lang w:val="sr-Cyrl-CS"/>
        </w:rPr>
        <w:t>adekvatnog sistema za prečišćavanje otpadnih voda u sistemu javne kanalizacije;</w:t>
      </w:r>
    </w:p>
    <w:p w14:paraId="07FA8841" w14:textId="77777777" w:rsidR="00674AF3" w:rsidRPr="0085443D" w:rsidRDefault="00674AF3" w:rsidP="009901CE">
      <w:pPr>
        <w:widowControl w:val="0"/>
        <w:numPr>
          <w:ilvl w:val="0"/>
          <w:numId w:val="8"/>
        </w:numPr>
        <w:tabs>
          <w:tab w:val="left" w:pos="-284"/>
        </w:tabs>
        <w:autoSpaceDE w:val="0"/>
        <w:autoSpaceDN w:val="0"/>
        <w:adjustRightInd w:val="0"/>
        <w:ind w:left="284" w:hanging="284"/>
        <w:jc w:val="both"/>
        <w:rPr>
          <w:rFonts w:cs="Calibri"/>
          <w:lang w:val="sr-Cyrl-CS"/>
        </w:rPr>
      </w:pPr>
      <w:r w:rsidRPr="0085443D">
        <w:rPr>
          <w:rFonts w:cs="Calibri"/>
          <w:lang w:val="sr-Cyrl-CS"/>
        </w:rPr>
        <w:t>Problem ruralnih područja opštine Prnjavor je nepostojanje sistema prikupljanja i prečišćavanj</w:t>
      </w:r>
      <w:r w:rsidR="0050616B" w:rsidRPr="0085443D">
        <w:rPr>
          <w:rFonts w:cs="Calibri"/>
        </w:rPr>
        <w:t>a</w:t>
      </w:r>
      <w:r w:rsidRPr="0085443D">
        <w:rPr>
          <w:rFonts w:cs="Calibri"/>
          <w:lang w:val="sr-Cyrl-CS"/>
        </w:rPr>
        <w:t xml:space="preserve"> sanitarno-fekalnih voda (nepostojanje sistema javne kanalizacije);</w:t>
      </w:r>
    </w:p>
    <w:p w14:paraId="3149CBAE" w14:textId="77777777" w:rsidR="00674AF3" w:rsidRPr="0085443D" w:rsidRDefault="00674AF3" w:rsidP="009901CE">
      <w:pPr>
        <w:widowControl w:val="0"/>
        <w:numPr>
          <w:ilvl w:val="0"/>
          <w:numId w:val="8"/>
        </w:numPr>
        <w:tabs>
          <w:tab w:val="left" w:pos="-284"/>
        </w:tabs>
        <w:autoSpaceDE w:val="0"/>
        <w:autoSpaceDN w:val="0"/>
        <w:adjustRightInd w:val="0"/>
        <w:ind w:left="284" w:hanging="284"/>
        <w:jc w:val="both"/>
        <w:rPr>
          <w:rFonts w:cs="Calibri"/>
          <w:lang w:val="sr-Cyrl-CS"/>
        </w:rPr>
      </w:pPr>
      <w:r w:rsidRPr="0085443D">
        <w:rPr>
          <w:rFonts w:cs="Calibri"/>
          <w:lang w:val="sr-Cyrl-CS"/>
        </w:rPr>
        <w:t>Problem nepostojanja adekvatne kontrole vodosnabdijevanja zbog rascjepkanosti manjih</w:t>
      </w:r>
      <w:r w:rsidRPr="0085443D">
        <w:rPr>
          <w:rFonts w:cs="Calibri"/>
          <w:lang w:val="hr-HR"/>
        </w:rPr>
        <w:t xml:space="preserve"> </w:t>
      </w:r>
      <w:r w:rsidRPr="0085443D">
        <w:rPr>
          <w:rFonts w:cs="Calibri"/>
          <w:lang w:val="sr-Cyrl-CS"/>
        </w:rPr>
        <w:t>vodovodnih sistema i nezaštićenosti izvorišta;</w:t>
      </w:r>
    </w:p>
    <w:p w14:paraId="7717902C" w14:textId="77777777" w:rsidR="0050616B" w:rsidRPr="0085443D" w:rsidRDefault="00674AF3" w:rsidP="009901CE">
      <w:pPr>
        <w:widowControl w:val="0"/>
        <w:numPr>
          <w:ilvl w:val="0"/>
          <w:numId w:val="8"/>
        </w:numPr>
        <w:tabs>
          <w:tab w:val="left" w:pos="-284"/>
        </w:tabs>
        <w:overflowPunct w:val="0"/>
        <w:autoSpaceDE w:val="0"/>
        <w:autoSpaceDN w:val="0"/>
        <w:adjustRightInd w:val="0"/>
        <w:ind w:left="284" w:hanging="284"/>
        <w:jc w:val="both"/>
        <w:rPr>
          <w:rFonts w:eastAsia="ArialMT" w:cs="Calibri"/>
          <w:lang w:val="en-US"/>
        </w:rPr>
      </w:pPr>
      <w:r w:rsidRPr="0085443D">
        <w:rPr>
          <w:rFonts w:cs="Calibri"/>
          <w:lang w:val="sr-Cyrl-CS"/>
        </w:rPr>
        <w:t xml:space="preserve">Zagađenje voda porijeklom od privrede i industrije </w:t>
      </w:r>
      <w:r w:rsidR="0050616B" w:rsidRPr="0085443D">
        <w:rPr>
          <w:rFonts w:cs="Calibri"/>
        </w:rPr>
        <w:t xml:space="preserve">koje </w:t>
      </w:r>
      <w:r w:rsidRPr="0085443D">
        <w:rPr>
          <w:rFonts w:cs="Calibri"/>
          <w:lang w:val="sr-Cyrl-CS"/>
        </w:rPr>
        <w:t>nastaje zbog nepostojanja sistema za tretman industrijskih otpadnih voda;</w:t>
      </w:r>
    </w:p>
    <w:p w14:paraId="15D6FA66" w14:textId="77777777" w:rsidR="00162488" w:rsidRPr="00162488" w:rsidRDefault="001E629F" w:rsidP="009901CE">
      <w:pPr>
        <w:widowControl w:val="0"/>
        <w:numPr>
          <w:ilvl w:val="0"/>
          <w:numId w:val="8"/>
        </w:numPr>
        <w:tabs>
          <w:tab w:val="left" w:pos="-284"/>
        </w:tabs>
        <w:overflowPunct w:val="0"/>
        <w:autoSpaceDE w:val="0"/>
        <w:autoSpaceDN w:val="0"/>
        <w:adjustRightInd w:val="0"/>
        <w:ind w:left="284" w:hanging="284"/>
        <w:jc w:val="both"/>
      </w:pPr>
      <w:r w:rsidRPr="00F24BEB">
        <w:rPr>
          <w:rFonts w:cs="Calibri"/>
          <w:lang w:val="sr-Cyrl-CS"/>
        </w:rPr>
        <w:t>Problem zagađenja voda porijeklom od poljoprivredne i stočarske proizvodnje nastaje, jer farme nemaju  postrojenja za prečišćavanje otpadnih voda.</w:t>
      </w:r>
      <w:r w:rsidR="00162488">
        <w:rPr>
          <w:rFonts w:cs="Calibri"/>
        </w:rPr>
        <w:t xml:space="preserve"> </w:t>
      </w:r>
    </w:p>
    <w:p w14:paraId="31D15CE8" w14:textId="4F7D529C" w:rsidR="00674AF3" w:rsidRPr="0085443D" w:rsidRDefault="00674AF3" w:rsidP="009901CE">
      <w:pPr>
        <w:widowControl w:val="0"/>
        <w:numPr>
          <w:ilvl w:val="0"/>
          <w:numId w:val="8"/>
        </w:numPr>
        <w:tabs>
          <w:tab w:val="left" w:pos="-284"/>
        </w:tabs>
        <w:overflowPunct w:val="0"/>
        <w:autoSpaceDE w:val="0"/>
        <w:autoSpaceDN w:val="0"/>
        <w:adjustRightInd w:val="0"/>
        <w:ind w:left="284" w:hanging="284"/>
        <w:jc w:val="both"/>
      </w:pPr>
      <w:r w:rsidRPr="0085443D">
        <w:t xml:space="preserve">Postojeća vodovodna mreža na području Prnjavora je zastarjela i izgrađena je od azbestnih cijevi, koje su u lošem stanju i uzrokuju velike gubitke. </w:t>
      </w:r>
      <w:r w:rsidR="00D379FB" w:rsidRPr="0085443D">
        <w:t>Jedan od problema je i kvalitet vode.</w:t>
      </w:r>
    </w:p>
    <w:p w14:paraId="47E5F42B" w14:textId="77777777" w:rsidR="00666976" w:rsidRPr="0085443D" w:rsidRDefault="00666976" w:rsidP="00DC3B52">
      <w:pPr>
        <w:rPr>
          <w:b/>
          <w:i/>
        </w:rPr>
      </w:pPr>
    </w:p>
    <w:p w14:paraId="5BD4DED3" w14:textId="77777777" w:rsidR="00084612" w:rsidRPr="0085443D" w:rsidRDefault="00084612" w:rsidP="00084612">
      <w:pPr>
        <w:spacing w:after="80"/>
        <w:jc w:val="both"/>
        <w:rPr>
          <w:rFonts w:cs="Arial"/>
          <w:lang w:val="hr-HR"/>
        </w:rPr>
      </w:pPr>
      <w:r w:rsidRPr="0085443D">
        <w:rPr>
          <w:b/>
          <w:i/>
          <w:lang w:val="hr-HR"/>
        </w:rPr>
        <w:t>Otpadne vode – kanalizaciona mreža</w:t>
      </w:r>
    </w:p>
    <w:p w14:paraId="10753041" w14:textId="77777777" w:rsidR="00F24BEB" w:rsidRDefault="002A3236" w:rsidP="00594924">
      <w:pPr>
        <w:jc w:val="both"/>
        <w:rPr>
          <w:rFonts w:cs="Arial"/>
          <w:lang w:val="hr-HR"/>
        </w:rPr>
      </w:pPr>
      <w:r w:rsidRPr="0085443D">
        <w:t>Postojeća kanalizaciona mreža na području grada je većim dijelom izgrađena bez prečistača. Potrebno je još izgraditi kanalizacionu mrežu sliva potoka Radulovac, čime bi čitav grad bio pokriven kanalizacionom mrežom.</w:t>
      </w:r>
      <w:r w:rsidR="00860D06" w:rsidRPr="0085443D">
        <w:t xml:space="preserve"> </w:t>
      </w:r>
      <w:r w:rsidR="00795422" w:rsidRPr="0085443D">
        <w:rPr>
          <w:rFonts w:cs="Arial"/>
          <w:lang w:val="hr-HR"/>
        </w:rPr>
        <w:t>U proteklom periodu, izvedeni su radovi na izgradnji kanalizacione mreže u izbjegličkom naselju u MZ Potočani, te u naseljima Istok 2 i Istok 3, u Ruskoj ulici, u dijelu sela Donji Galjipovci i dijelu naselja Konjuhovci. Izgrađen je dio kolektora mješovite kanalizacije sliva Konjuhovci-Slatina. Izvedeni su radovi na izgradnji oborinskih i drenažnih voda, odvodnji fekalne kanalizacije i dijela vodovoda za potrebe zgrade koja se gradi za porodice poginulih boraca i RVI. U posmatranom periodu izgrađeno je 3</w:t>
      </w:r>
      <w:r w:rsidR="00860D06" w:rsidRPr="0085443D">
        <w:rPr>
          <w:rFonts w:cs="Arial"/>
          <w:lang w:val="hr-HR"/>
        </w:rPr>
        <w:t>.</w:t>
      </w:r>
      <w:r w:rsidR="00795422" w:rsidRPr="0085443D">
        <w:rPr>
          <w:rFonts w:cs="Arial"/>
          <w:lang w:val="hr-HR"/>
        </w:rPr>
        <w:t xml:space="preserve">025 m nove kanalizacione mreže. </w:t>
      </w:r>
    </w:p>
    <w:p w14:paraId="7AC8DACB" w14:textId="1DCD8FEB" w:rsidR="00795422" w:rsidRPr="0085443D" w:rsidRDefault="00795422" w:rsidP="00594924">
      <w:pPr>
        <w:jc w:val="both"/>
      </w:pPr>
      <w:r w:rsidRPr="007A7BDB">
        <w:rPr>
          <w:rFonts w:cs="Arial"/>
          <w:highlight w:val="cyan"/>
          <w:lang w:val="hr-HR"/>
        </w:rPr>
        <w:t>Ukupna pokrivenost domaćinstava kanalizacionom mrežom u opštini je</w:t>
      </w:r>
      <w:r w:rsidRPr="0085443D">
        <w:rPr>
          <w:rFonts w:cs="Arial"/>
          <w:lang w:val="hr-HR"/>
        </w:rPr>
        <w:t xml:space="preserve"> 39%.</w:t>
      </w:r>
      <w:r w:rsidRPr="0085443D">
        <w:rPr>
          <w:rStyle w:val="FootnoteReference"/>
          <w:rFonts w:cs="Arial"/>
          <w:lang w:val="hr-HR"/>
        </w:rPr>
        <w:footnoteReference w:id="15"/>
      </w:r>
      <w:r w:rsidR="00F24BEB">
        <w:rPr>
          <w:rFonts w:cs="Arial"/>
          <w:lang w:val="hr-HR"/>
        </w:rPr>
        <w:t xml:space="preserve">. Kada je riječ o poslovnom sektoru, kanalizacionom mrežom je pokriveno x korisnika. </w:t>
      </w:r>
      <w:r w:rsidR="00E4368E" w:rsidRPr="0085443D">
        <w:rPr>
          <w:rFonts w:cs="Arial"/>
          <w:lang w:val="hr-HR"/>
        </w:rPr>
        <w:t xml:space="preserve"> I</w:t>
      </w:r>
      <w:r w:rsidR="00E4368E" w:rsidRPr="0085443D">
        <w:rPr>
          <w:rFonts w:cs="Arial"/>
        </w:rPr>
        <w:t>zražena je</w:t>
      </w:r>
      <w:r w:rsidR="00E4368E" w:rsidRPr="0085443D">
        <w:rPr>
          <w:rFonts w:cs="Arial"/>
          <w:lang w:val="hr-HR"/>
        </w:rPr>
        <w:t xml:space="preserve"> potreba za proširenjem kanalizacione mreže, a poseban problem je nedostatak prečistača.</w:t>
      </w:r>
    </w:p>
    <w:p w14:paraId="067E8BE5" w14:textId="77777777" w:rsidR="002A3236" w:rsidRPr="0085443D" w:rsidRDefault="002A3236" w:rsidP="002A3236">
      <w:pPr>
        <w:spacing w:after="80"/>
        <w:rPr>
          <w:b/>
          <w:i/>
          <w:lang w:val="hr-HR"/>
        </w:rPr>
      </w:pPr>
    </w:p>
    <w:p w14:paraId="3FC98444" w14:textId="77777777" w:rsidR="006E214D" w:rsidRDefault="006E214D" w:rsidP="006E214D">
      <w:pPr>
        <w:spacing w:after="80"/>
        <w:jc w:val="both"/>
        <w:rPr>
          <w:b/>
          <w:i/>
          <w:lang w:val="hr-HR"/>
        </w:rPr>
      </w:pPr>
      <w:r>
        <w:rPr>
          <w:b/>
          <w:i/>
          <w:lang w:val="hr-HR"/>
        </w:rPr>
        <w:t>Upravljanje otpadom</w:t>
      </w:r>
    </w:p>
    <w:p w14:paraId="30E407C2" w14:textId="7E91BB9C" w:rsidR="00D97A44" w:rsidRDefault="00D97A44" w:rsidP="00D97A44">
      <w:pPr>
        <w:jc w:val="both"/>
      </w:pPr>
      <w:r w:rsidRPr="007A7BDB">
        <w:rPr>
          <w:highlight w:val="cyan"/>
        </w:rPr>
        <w:t>Prema podacima KP Park, za 201</w:t>
      </w:r>
      <w:r w:rsidR="0056693B">
        <w:rPr>
          <w:highlight w:val="cyan"/>
        </w:rPr>
        <w:t>6</w:t>
      </w:r>
      <w:r w:rsidRPr="007A7BDB">
        <w:rPr>
          <w:highlight w:val="cyan"/>
        </w:rPr>
        <w:t>. broj domaćinstava obuhvaćenih prikupljanjem otpada u urbanom području je 3.3</w:t>
      </w:r>
      <w:r w:rsidR="00574551">
        <w:rPr>
          <w:highlight w:val="cyan"/>
        </w:rPr>
        <w:t>41</w:t>
      </w:r>
      <w:r w:rsidRPr="007A7BDB">
        <w:rPr>
          <w:highlight w:val="cyan"/>
        </w:rPr>
        <w:t>, a u ruralnom području 3.48</w:t>
      </w:r>
      <w:r w:rsidR="00574551">
        <w:rPr>
          <w:highlight w:val="cyan"/>
        </w:rPr>
        <w:t>8</w:t>
      </w:r>
      <w:r w:rsidRPr="007A7BDB">
        <w:rPr>
          <w:highlight w:val="cyan"/>
        </w:rPr>
        <w:t>, pa je procenat domaćinstava obuhvaćenih prikupljanjem otpada 56</w:t>
      </w:r>
      <w:r w:rsidR="00574551">
        <w:rPr>
          <w:highlight w:val="cyan"/>
        </w:rPr>
        <w:t>,13</w:t>
      </w:r>
      <w:r w:rsidRPr="007A7BDB">
        <w:rPr>
          <w:highlight w:val="cyan"/>
        </w:rPr>
        <w:t>%.</w:t>
      </w:r>
    </w:p>
    <w:p w14:paraId="284DE790" w14:textId="56808957" w:rsidR="00D97A44" w:rsidRDefault="006E214D" w:rsidP="006E214D">
      <w:pPr>
        <w:widowControl w:val="0"/>
        <w:tabs>
          <w:tab w:val="num" w:pos="0"/>
        </w:tabs>
        <w:overflowPunct w:val="0"/>
        <w:autoSpaceDE w:val="0"/>
        <w:autoSpaceDN w:val="0"/>
        <w:adjustRightInd w:val="0"/>
        <w:jc w:val="both"/>
        <w:rPr>
          <w:rFonts w:cs="Calibri"/>
          <w:lang w:val="sr-Cyrl-CS"/>
        </w:rPr>
      </w:pPr>
      <w:r>
        <w:rPr>
          <w:rFonts w:cs="Calibri"/>
          <w:lang w:val="sr-Cyrl-CS"/>
        </w:rPr>
        <w:t xml:space="preserve">Na području opštine Prnjavor ne postoje registrovane uređene deponije za odlaganje smeća. Otpad se sa područja opštine odvozi na regionalnu deponiju otpada </w:t>
      </w:r>
      <w:r>
        <w:rPr>
          <w:rFonts w:cs="Calibri"/>
        </w:rPr>
        <w:t xml:space="preserve">u </w:t>
      </w:r>
      <w:r>
        <w:rPr>
          <w:rFonts w:cs="Calibri"/>
          <w:lang w:val="sr-Cyrl-CS"/>
        </w:rPr>
        <w:t xml:space="preserve">Ramićima. </w:t>
      </w:r>
    </w:p>
    <w:p w14:paraId="4FB95541" w14:textId="125ABEA8" w:rsidR="006E214D" w:rsidRDefault="00A05775" w:rsidP="006E214D">
      <w:pPr>
        <w:widowControl w:val="0"/>
        <w:tabs>
          <w:tab w:val="num" w:pos="0"/>
        </w:tabs>
        <w:overflowPunct w:val="0"/>
        <w:autoSpaceDE w:val="0"/>
        <w:autoSpaceDN w:val="0"/>
        <w:adjustRightInd w:val="0"/>
        <w:jc w:val="both"/>
        <w:rPr>
          <w:rFonts w:cs="Calibri"/>
        </w:rPr>
      </w:pPr>
      <w:r>
        <w:rPr>
          <w:rFonts w:cs="Calibri"/>
          <w:lang w:val="bs-Latn-BA"/>
        </w:rPr>
        <w:t>N</w:t>
      </w:r>
      <w:r w:rsidR="006E214D">
        <w:rPr>
          <w:rFonts w:cs="Calibri"/>
          <w:lang w:val="sr-Cyrl-CS"/>
        </w:rPr>
        <w:t>ekontrolisane divlje deponije registrovane su na 8 lokacija. Iako se radi o manjim deponijama, iste nastaju kao posljedica nepropisnog odlaganja kućnog otpada od strane nesavjesnog lokalnog stanovništva. Radi se o sljedećim deponijama: Maćino Brdo, Vučijak, Kremna, Kremna (Grmčara) – Pavlovića šljunkara, Kremna</w:t>
      </w:r>
      <w:r w:rsidR="006E214D">
        <w:rPr>
          <w:rFonts w:cs="Calibri"/>
        </w:rPr>
        <w:t xml:space="preserve"> -</w:t>
      </w:r>
      <w:r w:rsidR="006E214D">
        <w:rPr>
          <w:rFonts w:cs="Calibri"/>
          <w:lang w:val="sr-Cyrl-CS"/>
        </w:rPr>
        <w:t xml:space="preserve"> preko puta potpornog zida na Regionalnom putu Prnjavor – Doboj, Gradina, Čivčije, Ljubić (Svinjar).</w:t>
      </w:r>
      <w:r w:rsidR="006E214D">
        <w:rPr>
          <w:rFonts w:cs="Calibri"/>
        </w:rPr>
        <w:t xml:space="preserve"> </w:t>
      </w:r>
      <w:r w:rsidR="00D97A44">
        <w:rPr>
          <w:rFonts w:cs="Calibri"/>
        </w:rPr>
        <w:t>Ta</w:t>
      </w:r>
      <w:r w:rsidR="007A7BDB">
        <w:rPr>
          <w:rFonts w:cs="Calibri"/>
        </w:rPr>
        <w:t>ko</w:t>
      </w:r>
      <w:r w:rsidR="00D97A44">
        <w:rPr>
          <w:rFonts w:cs="Calibri"/>
        </w:rPr>
        <w:t>đe</w:t>
      </w:r>
      <w:r w:rsidR="007A7BDB">
        <w:rPr>
          <w:rFonts w:cs="Calibri"/>
        </w:rPr>
        <w:t>,</w:t>
      </w:r>
      <w:r w:rsidR="00D97A44">
        <w:rPr>
          <w:rFonts w:cs="Calibri"/>
        </w:rPr>
        <w:t xml:space="preserve"> </w:t>
      </w:r>
      <w:r w:rsidR="006E214D">
        <w:rPr>
          <w:rFonts w:cs="Calibri"/>
        </w:rPr>
        <w:t xml:space="preserve">divlje, stare, deponije su na lokalitetima: Kremna (pored rijeke Ukrina, 25 m3 otpada – plastika, guma), Hrvaćani (šuma u blizini sela Devetina, 20 m3 – plastika, guma) i Maćino brdo (deponija u potoku). </w:t>
      </w:r>
    </w:p>
    <w:p w14:paraId="25F8D52F" w14:textId="001CACA9" w:rsidR="00D97A44" w:rsidRDefault="00D97A44" w:rsidP="00D97A44">
      <w:pPr>
        <w:jc w:val="both"/>
      </w:pPr>
      <w:r>
        <w:t xml:space="preserve">U pogledu opreme i mehanizacije kojom raspolaže KP Park </w:t>
      </w:r>
      <w:r w:rsidRPr="007A7BDB">
        <w:rPr>
          <w:highlight w:val="cyan"/>
        </w:rPr>
        <w:t>s</w:t>
      </w:r>
      <w:r w:rsidR="007A7BDB" w:rsidRPr="007A7BDB">
        <w:rPr>
          <w:highlight w:val="cyan"/>
        </w:rPr>
        <w:t xml:space="preserve">ituacija </w:t>
      </w:r>
      <w:r w:rsidR="007A7BDB">
        <w:rPr>
          <w:highlight w:val="cyan"/>
        </w:rPr>
        <w:t>ni</w:t>
      </w:r>
      <w:r w:rsidR="007A7BDB" w:rsidRPr="007A7BDB">
        <w:rPr>
          <w:highlight w:val="cyan"/>
        </w:rPr>
        <w:t>je</w:t>
      </w:r>
      <w:r w:rsidRPr="007A7BDB">
        <w:rPr>
          <w:highlight w:val="cyan"/>
        </w:rPr>
        <w:t xml:space="preserve"> </w:t>
      </w:r>
      <w:r w:rsidR="007A7BDB">
        <w:rPr>
          <w:highlight w:val="cyan"/>
        </w:rPr>
        <w:t xml:space="preserve">u potpunosti </w:t>
      </w:r>
      <w:r w:rsidRPr="007A7BDB">
        <w:rPr>
          <w:highlight w:val="cyan"/>
        </w:rPr>
        <w:t>zadovoljavajuća</w:t>
      </w:r>
      <w:r>
        <w:t>:</w:t>
      </w:r>
    </w:p>
    <w:p w14:paraId="561726D1" w14:textId="77777777" w:rsidR="00D97A44" w:rsidRDefault="00D97A44" w:rsidP="009901CE">
      <w:pPr>
        <w:pStyle w:val="ListParagraph"/>
        <w:numPr>
          <w:ilvl w:val="0"/>
          <w:numId w:val="19"/>
        </w:numPr>
        <w:spacing w:before="0" w:line="240" w:lineRule="auto"/>
        <w:ind w:left="714" w:hanging="357"/>
      </w:pPr>
      <w:r>
        <w:lastRenderedPageBreak/>
        <w:t>oprema za prikupljanje otpada – 4 komunalna kontejnera od 5 m3, 12 komunalnih kontejnera od 7 m3, 120 kontejnera od 1,1 m3, 16 kontejnera za odvojeno prikupljanje sekundarnih sirovina;</w:t>
      </w:r>
    </w:p>
    <w:p w14:paraId="51390959" w14:textId="77777777" w:rsidR="00D97A44" w:rsidRDefault="00D97A44" w:rsidP="009901CE">
      <w:pPr>
        <w:pStyle w:val="ListParagraph"/>
        <w:numPr>
          <w:ilvl w:val="0"/>
          <w:numId w:val="19"/>
        </w:numPr>
        <w:spacing w:before="0" w:line="240" w:lineRule="auto"/>
        <w:ind w:left="714" w:hanging="357"/>
      </w:pPr>
      <w:r>
        <w:t xml:space="preserve">oprema za transport otpada – 5 auto-smećara, po jedan auto-podizač, kamion, kamion kiper, traktor sa prikolicom. </w:t>
      </w:r>
    </w:p>
    <w:p w14:paraId="72686505" w14:textId="77777777" w:rsidR="006E214D" w:rsidRDefault="006E214D" w:rsidP="006E214D">
      <w:pPr>
        <w:widowControl w:val="0"/>
        <w:autoSpaceDE w:val="0"/>
        <w:autoSpaceDN w:val="0"/>
        <w:adjustRightInd w:val="0"/>
        <w:jc w:val="both"/>
        <w:rPr>
          <w:rFonts w:cs="Calibri"/>
        </w:rPr>
      </w:pPr>
      <w:r>
        <w:rPr>
          <w:rFonts w:cs="Calibri"/>
        </w:rPr>
        <w:t xml:space="preserve">Na osnovu </w:t>
      </w:r>
      <w:r>
        <w:rPr>
          <w:rFonts w:cs="Calibri"/>
          <w:lang w:val="sr-Cyrl-CS"/>
        </w:rPr>
        <w:t>dosadašnje analize stanja u oblasti organizovanog sakupljanja i tretmana otpada na području opštine</w:t>
      </w:r>
      <w:r>
        <w:rPr>
          <w:rFonts w:cs="Calibri"/>
        </w:rPr>
        <w:t>, mo</w:t>
      </w:r>
      <w:r>
        <w:rPr>
          <w:rFonts w:cs="Calibri"/>
          <w:lang w:val="sr-Cyrl-RS"/>
        </w:rPr>
        <w:t>gu se definisati sljedeći problemi</w:t>
      </w:r>
      <w:r>
        <w:rPr>
          <w:rFonts w:cs="Calibri"/>
        </w:rPr>
        <w:t>:</w:t>
      </w:r>
    </w:p>
    <w:p w14:paraId="29F8669B" w14:textId="77777777" w:rsidR="006E214D" w:rsidRDefault="006E214D" w:rsidP="009901CE">
      <w:pPr>
        <w:widowControl w:val="0"/>
        <w:numPr>
          <w:ilvl w:val="0"/>
          <w:numId w:val="18"/>
        </w:numPr>
        <w:autoSpaceDE w:val="0"/>
        <w:autoSpaceDN w:val="0"/>
        <w:adjustRightInd w:val="0"/>
        <w:ind w:left="284" w:hanging="284"/>
        <w:jc w:val="both"/>
        <w:rPr>
          <w:rFonts w:cs="Calibri"/>
          <w:lang w:val="sr-Cyrl-CS"/>
        </w:rPr>
      </w:pPr>
      <w:r>
        <w:rPr>
          <w:rFonts w:cs="Calibri"/>
          <w:lang w:val="sr-Cyrl-RS"/>
        </w:rPr>
        <w:t>N</w:t>
      </w:r>
      <w:r>
        <w:rPr>
          <w:rFonts w:cs="Calibri"/>
        </w:rPr>
        <w:t xml:space="preserve">ezadovoljavajuće </w:t>
      </w:r>
      <w:r>
        <w:rPr>
          <w:rFonts w:cs="Calibri"/>
          <w:lang w:val="sr-Cyrl-CS"/>
        </w:rPr>
        <w:t>stanje</w:t>
      </w:r>
      <w:r>
        <w:rPr>
          <w:rFonts w:cs="Calibri"/>
        </w:rPr>
        <w:t xml:space="preserve"> u pogledu prikupljanja, transporta i lokacije odlaganja otpada</w:t>
      </w:r>
      <w:r>
        <w:rPr>
          <w:rFonts w:cs="Calibri"/>
          <w:lang w:val="sr-Cyrl-CS"/>
        </w:rPr>
        <w:t>, koje je posljedica neselektivnosti pristupa u rješavanju ovoga problema</w:t>
      </w:r>
      <w:r>
        <w:rPr>
          <w:rFonts w:cs="Calibri"/>
        </w:rPr>
        <w:t>;</w:t>
      </w:r>
    </w:p>
    <w:p w14:paraId="39851077" w14:textId="77777777" w:rsidR="006E214D" w:rsidRDefault="006E214D" w:rsidP="009901CE">
      <w:pPr>
        <w:widowControl w:val="0"/>
        <w:numPr>
          <w:ilvl w:val="0"/>
          <w:numId w:val="18"/>
        </w:numPr>
        <w:autoSpaceDE w:val="0"/>
        <w:autoSpaceDN w:val="0"/>
        <w:adjustRightInd w:val="0"/>
        <w:ind w:left="284" w:hanging="284"/>
        <w:jc w:val="both"/>
        <w:rPr>
          <w:rFonts w:cs="Calibri"/>
          <w:lang w:val="sr-Cyrl-CS"/>
        </w:rPr>
      </w:pPr>
      <w:r>
        <w:rPr>
          <w:rFonts w:cs="Calibri"/>
          <w:lang w:val="sr-Cyrl-CS"/>
        </w:rPr>
        <w:t>Ne postoji sistem monitoringa i kontrole prometa i odlaganja otpada, ne postoje podaci o generisanju opasnog otpada, njegovom odlaganju i tretmanu</w:t>
      </w:r>
      <w:r>
        <w:rPr>
          <w:rFonts w:cs="Calibri"/>
        </w:rPr>
        <w:t>;</w:t>
      </w:r>
    </w:p>
    <w:p w14:paraId="40D57BFF" w14:textId="77777777" w:rsidR="006E214D" w:rsidRDefault="006E214D" w:rsidP="009901CE">
      <w:pPr>
        <w:widowControl w:val="0"/>
        <w:numPr>
          <w:ilvl w:val="0"/>
          <w:numId w:val="18"/>
        </w:numPr>
        <w:autoSpaceDE w:val="0"/>
        <w:autoSpaceDN w:val="0"/>
        <w:adjustRightInd w:val="0"/>
        <w:ind w:left="284" w:hanging="284"/>
        <w:jc w:val="both"/>
        <w:rPr>
          <w:rFonts w:cs="Calibri"/>
          <w:lang w:val="sr-Cyrl-CS"/>
        </w:rPr>
      </w:pPr>
      <w:r>
        <w:rPr>
          <w:rFonts w:cs="Calibri"/>
          <w:lang w:val="sr-Cyrl-CS"/>
        </w:rPr>
        <w:t>Izostaje primjena načela „zagađivač plaća“, a koji se odnosi na plaćanje naknade zagađivanja životne sredine u skladu sa propisima koji regulišu finansiranje zaštite životne sredine, u slučaju kada svojim aktivnostima potencijalni zagađivač prouzrokuje ili može prouzrokovati opterećenje životne sredine</w:t>
      </w:r>
      <w:r>
        <w:rPr>
          <w:rFonts w:cs="Calibri"/>
        </w:rPr>
        <w:t>;</w:t>
      </w:r>
    </w:p>
    <w:p w14:paraId="5902CC83" w14:textId="77777777" w:rsidR="006E214D" w:rsidRDefault="006E214D" w:rsidP="009901CE">
      <w:pPr>
        <w:widowControl w:val="0"/>
        <w:numPr>
          <w:ilvl w:val="0"/>
          <w:numId w:val="18"/>
        </w:numPr>
        <w:autoSpaceDE w:val="0"/>
        <w:autoSpaceDN w:val="0"/>
        <w:adjustRightInd w:val="0"/>
        <w:ind w:left="284" w:hanging="284"/>
        <w:jc w:val="both"/>
        <w:rPr>
          <w:rFonts w:cs="Calibri"/>
          <w:lang w:val="sr-Cyrl-CS"/>
        </w:rPr>
      </w:pPr>
      <w:r>
        <w:rPr>
          <w:rFonts w:cs="Calibri"/>
          <w:lang w:val="sr-Cyrl-CS"/>
        </w:rPr>
        <w:t>Postojanje neuređenih odlagališta otpada</w:t>
      </w:r>
      <w:r>
        <w:rPr>
          <w:rFonts w:cs="Calibri"/>
        </w:rPr>
        <w:t>;</w:t>
      </w:r>
    </w:p>
    <w:p w14:paraId="5B6CA67D" w14:textId="77777777" w:rsidR="006E214D" w:rsidRDefault="006E214D" w:rsidP="009901CE">
      <w:pPr>
        <w:widowControl w:val="0"/>
        <w:numPr>
          <w:ilvl w:val="0"/>
          <w:numId w:val="18"/>
        </w:numPr>
        <w:tabs>
          <w:tab w:val="num" w:pos="0"/>
        </w:tabs>
        <w:overflowPunct w:val="0"/>
        <w:autoSpaceDE w:val="0"/>
        <w:autoSpaceDN w:val="0"/>
        <w:adjustRightInd w:val="0"/>
        <w:ind w:left="284" w:hanging="284"/>
        <w:jc w:val="both"/>
        <w:rPr>
          <w:rFonts w:cs="Calibri"/>
          <w:shd w:val="clear" w:color="auto" w:fill="FFFFFF"/>
        </w:rPr>
      </w:pPr>
      <w:r>
        <w:rPr>
          <w:rFonts w:cs="Calibri"/>
          <w:lang w:val="sr-Cyrl-CS"/>
        </w:rPr>
        <w:t>Neidentifikovane divlje deponije</w:t>
      </w:r>
      <w:r>
        <w:rPr>
          <w:rFonts w:cs="Calibri"/>
        </w:rPr>
        <w:t>;</w:t>
      </w:r>
    </w:p>
    <w:p w14:paraId="6FD0A4FD" w14:textId="22AB57B9" w:rsidR="006E214D" w:rsidRPr="007A7BDB" w:rsidRDefault="006E214D" w:rsidP="009901CE">
      <w:pPr>
        <w:widowControl w:val="0"/>
        <w:numPr>
          <w:ilvl w:val="0"/>
          <w:numId w:val="18"/>
        </w:numPr>
        <w:tabs>
          <w:tab w:val="num" w:pos="0"/>
        </w:tabs>
        <w:overflowPunct w:val="0"/>
        <w:autoSpaceDE w:val="0"/>
        <w:autoSpaceDN w:val="0"/>
        <w:adjustRightInd w:val="0"/>
        <w:ind w:left="284" w:hanging="284"/>
        <w:jc w:val="both"/>
        <w:rPr>
          <w:rFonts w:cs="Calibri"/>
          <w:shd w:val="clear" w:color="auto" w:fill="FFFFFF"/>
        </w:rPr>
      </w:pPr>
      <w:r>
        <w:rPr>
          <w:rFonts w:cs="Calibri"/>
          <w:lang w:val="sr-Cyrl-CS"/>
        </w:rPr>
        <w:t>Problemi u transportu otpada zbog zastarjele i neispravne mehanizacije</w:t>
      </w:r>
      <w:r>
        <w:rPr>
          <w:rFonts w:cs="Calibri"/>
        </w:rPr>
        <w:t xml:space="preserve">. </w:t>
      </w:r>
    </w:p>
    <w:p w14:paraId="124FB6D1" w14:textId="77777777" w:rsidR="0081343B" w:rsidRPr="0085443D" w:rsidRDefault="0081343B" w:rsidP="0081343B">
      <w:pPr>
        <w:widowControl w:val="0"/>
        <w:tabs>
          <w:tab w:val="num" w:pos="0"/>
        </w:tabs>
        <w:overflowPunct w:val="0"/>
        <w:autoSpaceDE w:val="0"/>
        <w:autoSpaceDN w:val="0"/>
        <w:adjustRightInd w:val="0"/>
        <w:jc w:val="both"/>
        <w:rPr>
          <w:rFonts w:cs="Calibri"/>
          <w:shd w:val="clear" w:color="auto" w:fill="FFFFFF"/>
          <w:lang w:val="hr-HR"/>
        </w:rPr>
      </w:pPr>
    </w:p>
    <w:p w14:paraId="17253191" w14:textId="77777777" w:rsidR="003B497A" w:rsidRPr="0085443D" w:rsidRDefault="00D6421B" w:rsidP="003B497A">
      <w:pPr>
        <w:spacing w:after="80"/>
        <w:rPr>
          <w:b/>
          <w:u w:val="single"/>
        </w:rPr>
      </w:pPr>
      <w:hyperlink w:anchor="_Toc443859776" w:history="1">
        <w:r w:rsidR="003B497A" w:rsidRPr="0085443D">
          <w:rPr>
            <w:b/>
            <w:u w:val="single"/>
          </w:rPr>
          <w:t>Z</w:t>
        </w:r>
        <w:r w:rsidR="007B3DED" w:rsidRPr="0085443D">
          <w:rPr>
            <w:b/>
            <w:u w:val="single"/>
          </w:rPr>
          <w:t>a</w:t>
        </w:r>
        <w:r w:rsidR="003B497A" w:rsidRPr="0085443D">
          <w:rPr>
            <w:b/>
            <w:u w:val="single"/>
          </w:rPr>
          <w:t>štit</w:t>
        </w:r>
        <w:r w:rsidR="007B3DED" w:rsidRPr="0085443D">
          <w:rPr>
            <w:b/>
            <w:u w:val="single"/>
          </w:rPr>
          <w:t>a</w:t>
        </w:r>
        <w:r w:rsidR="003B497A" w:rsidRPr="0085443D">
          <w:rPr>
            <w:b/>
            <w:u w:val="single"/>
          </w:rPr>
          <w:t xml:space="preserve"> </w:t>
        </w:r>
        <w:r w:rsidR="00A03059" w:rsidRPr="0085443D">
          <w:rPr>
            <w:b/>
            <w:u w:val="single"/>
          </w:rPr>
          <w:t>životne</w:t>
        </w:r>
      </w:hyperlink>
      <w:r w:rsidR="00A03059" w:rsidRPr="0085443D">
        <w:rPr>
          <w:b/>
          <w:u w:val="single"/>
        </w:rPr>
        <w:t xml:space="preserve"> sredine</w:t>
      </w:r>
    </w:p>
    <w:p w14:paraId="08EB3FA7" w14:textId="77777777" w:rsidR="002E3109" w:rsidRPr="0085443D" w:rsidRDefault="007B3DED" w:rsidP="00A03059">
      <w:pPr>
        <w:jc w:val="both"/>
      </w:pPr>
      <w:r w:rsidRPr="0085443D">
        <w:t>Životna</w:t>
      </w:r>
      <w:r w:rsidR="002E3109" w:rsidRPr="0085443D">
        <w:t xml:space="preserve"> </w:t>
      </w:r>
      <w:r w:rsidRPr="0085443D">
        <w:t>sredina</w:t>
      </w:r>
      <w:r w:rsidR="002E3109" w:rsidRPr="0085443D">
        <w:t xml:space="preserve"> </w:t>
      </w:r>
      <w:r w:rsidRPr="0085443D">
        <w:t>u</w:t>
      </w:r>
      <w:r w:rsidR="002E3109" w:rsidRPr="0085443D">
        <w:t xml:space="preserve"> </w:t>
      </w:r>
      <w:r w:rsidRPr="0085443D">
        <w:t>opštini</w:t>
      </w:r>
      <w:r w:rsidR="002E3109" w:rsidRPr="0085443D">
        <w:t xml:space="preserve"> </w:t>
      </w:r>
      <w:r w:rsidRPr="0085443D">
        <w:t>je</w:t>
      </w:r>
      <w:r w:rsidR="002E3109" w:rsidRPr="0085443D">
        <w:t xml:space="preserve"> </w:t>
      </w:r>
      <w:r w:rsidRPr="0085443D">
        <w:t>godinama</w:t>
      </w:r>
      <w:r w:rsidR="002E3109" w:rsidRPr="0085443D">
        <w:t xml:space="preserve"> </w:t>
      </w:r>
      <w:r w:rsidRPr="0085443D">
        <w:t>izložena</w:t>
      </w:r>
      <w:r w:rsidR="002E3109" w:rsidRPr="0085443D">
        <w:t xml:space="preserve"> </w:t>
      </w:r>
      <w:r w:rsidRPr="0085443D">
        <w:t>uticaju</w:t>
      </w:r>
      <w:r w:rsidR="002E3109" w:rsidRPr="0085443D">
        <w:t xml:space="preserve"> </w:t>
      </w:r>
      <w:r w:rsidRPr="0085443D">
        <w:t>negativnih</w:t>
      </w:r>
      <w:r w:rsidR="002E3109" w:rsidRPr="0085443D">
        <w:t xml:space="preserve"> </w:t>
      </w:r>
      <w:r w:rsidRPr="0085443D">
        <w:t>činilaca</w:t>
      </w:r>
      <w:r w:rsidR="002E3109" w:rsidRPr="0085443D">
        <w:t xml:space="preserve"> </w:t>
      </w:r>
      <w:r w:rsidRPr="0085443D">
        <w:t>od</w:t>
      </w:r>
      <w:r w:rsidR="002E3109" w:rsidRPr="0085443D">
        <w:t xml:space="preserve"> </w:t>
      </w:r>
      <w:r w:rsidRPr="0085443D">
        <w:t>kojih</w:t>
      </w:r>
      <w:r w:rsidR="002E3109" w:rsidRPr="0085443D">
        <w:t xml:space="preserve"> </w:t>
      </w:r>
      <w:r w:rsidRPr="0085443D">
        <w:t>su</w:t>
      </w:r>
      <w:r w:rsidR="002E3109" w:rsidRPr="0085443D">
        <w:t xml:space="preserve"> </w:t>
      </w:r>
      <w:r w:rsidRPr="0085443D">
        <w:t>najizraženiji</w:t>
      </w:r>
      <w:r w:rsidR="002E3109" w:rsidRPr="0085443D">
        <w:t xml:space="preserve">: </w:t>
      </w:r>
      <w:r w:rsidRPr="0085443D">
        <w:t>neadekvatno</w:t>
      </w:r>
      <w:r w:rsidR="002E3109" w:rsidRPr="0085443D">
        <w:t xml:space="preserve"> </w:t>
      </w:r>
      <w:r w:rsidRPr="0085443D">
        <w:t>prečišćavanje</w:t>
      </w:r>
      <w:r w:rsidR="002E3109" w:rsidRPr="0085443D">
        <w:t xml:space="preserve"> </w:t>
      </w:r>
      <w:r w:rsidRPr="0085443D">
        <w:t>otpadnih</w:t>
      </w:r>
      <w:r w:rsidR="002E3109" w:rsidRPr="0085443D">
        <w:t xml:space="preserve"> </w:t>
      </w:r>
      <w:r w:rsidRPr="0085443D">
        <w:t>voda</w:t>
      </w:r>
      <w:r w:rsidR="002E3109" w:rsidRPr="0085443D">
        <w:t xml:space="preserve">, </w:t>
      </w:r>
      <w:r w:rsidRPr="0085443D">
        <w:t>zagađivanje</w:t>
      </w:r>
      <w:r w:rsidR="002E3109" w:rsidRPr="0085443D">
        <w:t xml:space="preserve"> </w:t>
      </w:r>
      <w:r w:rsidRPr="0085443D">
        <w:t>površinskih</w:t>
      </w:r>
      <w:r w:rsidR="002E3109" w:rsidRPr="0085443D">
        <w:t xml:space="preserve"> </w:t>
      </w:r>
      <w:r w:rsidRPr="0085443D">
        <w:t>i</w:t>
      </w:r>
      <w:r w:rsidR="002E3109" w:rsidRPr="0085443D">
        <w:t xml:space="preserve"> </w:t>
      </w:r>
      <w:r w:rsidRPr="0085443D">
        <w:t>podzemnih</w:t>
      </w:r>
      <w:r w:rsidR="002E3109" w:rsidRPr="0085443D">
        <w:t xml:space="preserve"> </w:t>
      </w:r>
      <w:r w:rsidRPr="0085443D">
        <w:t>voda</w:t>
      </w:r>
      <w:r w:rsidR="002E3109" w:rsidRPr="0085443D">
        <w:t xml:space="preserve">, </w:t>
      </w:r>
      <w:r w:rsidRPr="0085443D">
        <w:t>neregulisano</w:t>
      </w:r>
      <w:r w:rsidR="002E3109" w:rsidRPr="0085443D">
        <w:t xml:space="preserve"> </w:t>
      </w:r>
      <w:r w:rsidRPr="0085443D">
        <w:t>upravljanje</w:t>
      </w:r>
      <w:r w:rsidR="002E3109" w:rsidRPr="0085443D">
        <w:t xml:space="preserve"> </w:t>
      </w:r>
      <w:r w:rsidRPr="0085443D">
        <w:t>otpadnim</w:t>
      </w:r>
      <w:r w:rsidR="002E3109" w:rsidRPr="0085443D">
        <w:t xml:space="preserve"> </w:t>
      </w:r>
      <w:r w:rsidRPr="0085443D">
        <w:t>materijama</w:t>
      </w:r>
      <w:r w:rsidR="002E3109" w:rsidRPr="0085443D">
        <w:t xml:space="preserve">, </w:t>
      </w:r>
      <w:r w:rsidRPr="0085443D">
        <w:t>postojanje</w:t>
      </w:r>
      <w:r w:rsidR="002E3109" w:rsidRPr="0085443D">
        <w:t xml:space="preserve"> </w:t>
      </w:r>
      <w:r w:rsidRPr="0085443D">
        <w:t>privatnih</w:t>
      </w:r>
      <w:r w:rsidR="002E3109" w:rsidRPr="0085443D">
        <w:t xml:space="preserve"> </w:t>
      </w:r>
      <w:r w:rsidRPr="0085443D">
        <w:t>klaonica</w:t>
      </w:r>
      <w:r w:rsidR="002E3109" w:rsidRPr="0085443D">
        <w:t xml:space="preserve"> </w:t>
      </w:r>
      <w:r w:rsidRPr="0085443D">
        <w:t>koje</w:t>
      </w:r>
      <w:r w:rsidR="002E3109" w:rsidRPr="0085443D">
        <w:t xml:space="preserve"> </w:t>
      </w:r>
      <w:r w:rsidRPr="0085443D">
        <w:t>proizvode</w:t>
      </w:r>
      <w:r w:rsidR="002E3109" w:rsidRPr="0085443D">
        <w:t xml:space="preserve"> </w:t>
      </w:r>
      <w:r w:rsidRPr="0085443D">
        <w:t>velike</w:t>
      </w:r>
      <w:r w:rsidR="002E3109" w:rsidRPr="0085443D">
        <w:t xml:space="preserve"> </w:t>
      </w:r>
      <w:r w:rsidRPr="0085443D">
        <w:t>količine</w:t>
      </w:r>
      <w:r w:rsidR="002E3109" w:rsidRPr="0085443D">
        <w:t xml:space="preserve"> </w:t>
      </w:r>
      <w:r w:rsidRPr="0085443D">
        <w:t>animalnog</w:t>
      </w:r>
      <w:r w:rsidR="002E3109" w:rsidRPr="0085443D">
        <w:t xml:space="preserve"> </w:t>
      </w:r>
      <w:r w:rsidRPr="0085443D">
        <w:t>otpada</w:t>
      </w:r>
      <w:r w:rsidR="002E3109" w:rsidRPr="0085443D">
        <w:t xml:space="preserve"> </w:t>
      </w:r>
      <w:r w:rsidRPr="0085443D">
        <w:t>i</w:t>
      </w:r>
      <w:r w:rsidR="002E3109" w:rsidRPr="0085443D">
        <w:t xml:space="preserve"> </w:t>
      </w:r>
      <w:r w:rsidRPr="0085443D">
        <w:t>otpadnih</w:t>
      </w:r>
      <w:r w:rsidR="002E3109" w:rsidRPr="0085443D">
        <w:t xml:space="preserve"> </w:t>
      </w:r>
      <w:r w:rsidRPr="0085443D">
        <w:t>voda</w:t>
      </w:r>
      <w:r w:rsidR="002E3109" w:rsidRPr="0085443D">
        <w:t xml:space="preserve">, </w:t>
      </w:r>
      <w:r w:rsidRPr="0085443D">
        <w:t>industrijski</w:t>
      </w:r>
      <w:r w:rsidR="002E3109" w:rsidRPr="0085443D">
        <w:t xml:space="preserve"> </w:t>
      </w:r>
      <w:r w:rsidRPr="0085443D">
        <w:t>zagađivači</w:t>
      </w:r>
      <w:r w:rsidR="002E3109" w:rsidRPr="0085443D">
        <w:t xml:space="preserve">, </w:t>
      </w:r>
      <w:r w:rsidRPr="0085443D">
        <w:t>asfaltna</w:t>
      </w:r>
      <w:r w:rsidR="002E3109" w:rsidRPr="0085443D">
        <w:t xml:space="preserve"> </w:t>
      </w:r>
      <w:r w:rsidRPr="0085443D">
        <w:t>baza</w:t>
      </w:r>
      <w:r w:rsidR="002E3109" w:rsidRPr="0085443D">
        <w:t xml:space="preserve">, </w:t>
      </w:r>
      <w:r w:rsidRPr="0085443D">
        <w:t>separacija</w:t>
      </w:r>
      <w:r w:rsidR="002E3109" w:rsidRPr="0085443D">
        <w:t xml:space="preserve"> </w:t>
      </w:r>
      <w:r w:rsidRPr="0085443D">
        <w:t>i</w:t>
      </w:r>
      <w:r w:rsidR="002E3109" w:rsidRPr="0085443D">
        <w:t xml:space="preserve"> </w:t>
      </w:r>
      <w:r w:rsidRPr="0085443D">
        <w:t>kamenolomi</w:t>
      </w:r>
      <w:r w:rsidR="002E3109" w:rsidRPr="0085443D">
        <w:t xml:space="preserve"> </w:t>
      </w:r>
      <w:r w:rsidRPr="0085443D">
        <w:t>i</w:t>
      </w:r>
      <w:r w:rsidR="002E3109" w:rsidRPr="0085443D">
        <w:t xml:space="preserve"> </w:t>
      </w:r>
      <w:r w:rsidRPr="0085443D">
        <w:t>uticaj</w:t>
      </w:r>
      <w:r w:rsidR="002E3109" w:rsidRPr="0085443D">
        <w:t xml:space="preserve"> </w:t>
      </w:r>
      <w:r w:rsidRPr="0085443D">
        <w:t>Termoelektrane</w:t>
      </w:r>
      <w:r w:rsidR="002E3109" w:rsidRPr="0085443D">
        <w:t xml:space="preserve"> </w:t>
      </w:r>
      <w:r w:rsidRPr="0085443D">
        <w:t>i</w:t>
      </w:r>
      <w:r w:rsidR="002E3109" w:rsidRPr="0085443D">
        <w:t xml:space="preserve"> </w:t>
      </w:r>
      <w:r w:rsidRPr="0085443D">
        <w:t>rudnika</w:t>
      </w:r>
      <w:r w:rsidR="002E3109" w:rsidRPr="0085443D">
        <w:t xml:space="preserve"> </w:t>
      </w:r>
      <w:r w:rsidRPr="0085443D">
        <w:t>Stanari</w:t>
      </w:r>
      <w:r w:rsidR="002E3109" w:rsidRPr="0085443D">
        <w:t xml:space="preserve">, </w:t>
      </w:r>
      <w:r w:rsidRPr="0085443D">
        <w:t>izgradnja</w:t>
      </w:r>
      <w:r w:rsidR="002E3109" w:rsidRPr="0085443D">
        <w:t xml:space="preserve"> </w:t>
      </w:r>
      <w:r w:rsidRPr="0085443D">
        <w:t>auto</w:t>
      </w:r>
      <w:r w:rsidR="003621BF" w:rsidRPr="0085443D">
        <w:t>-</w:t>
      </w:r>
      <w:r w:rsidRPr="0085443D">
        <w:t>puta</w:t>
      </w:r>
      <w:r w:rsidR="002E3109" w:rsidRPr="0085443D">
        <w:t xml:space="preserve"> </w:t>
      </w:r>
      <w:r w:rsidRPr="0085443D">
        <w:t>Banja</w:t>
      </w:r>
      <w:r w:rsidR="002E3109" w:rsidRPr="0085443D">
        <w:t xml:space="preserve"> </w:t>
      </w:r>
      <w:r w:rsidRPr="0085443D">
        <w:t>Luka</w:t>
      </w:r>
      <w:r w:rsidR="002E3109" w:rsidRPr="0085443D">
        <w:t>-</w:t>
      </w:r>
      <w:r w:rsidRPr="0085443D">
        <w:t>Doboj</w:t>
      </w:r>
      <w:r w:rsidR="002E3109" w:rsidRPr="0085443D">
        <w:t xml:space="preserve">, </w:t>
      </w:r>
      <w:r w:rsidRPr="0085443D">
        <w:t>negativan</w:t>
      </w:r>
      <w:r w:rsidR="002E3109" w:rsidRPr="0085443D">
        <w:t xml:space="preserve"> </w:t>
      </w:r>
      <w:r w:rsidRPr="0085443D">
        <w:t>uticaj</w:t>
      </w:r>
      <w:r w:rsidR="002E3109" w:rsidRPr="0085443D">
        <w:t xml:space="preserve"> </w:t>
      </w:r>
      <w:r w:rsidRPr="0085443D">
        <w:t>poljoprivredne</w:t>
      </w:r>
      <w:r w:rsidR="002E3109" w:rsidRPr="0085443D">
        <w:t xml:space="preserve"> </w:t>
      </w:r>
      <w:r w:rsidRPr="0085443D">
        <w:t>proizvodnje</w:t>
      </w:r>
      <w:r w:rsidR="002E3109" w:rsidRPr="0085443D">
        <w:t xml:space="preserve"> </w:t>
      </w:r>
      <w:r w:rsidRPr="0085443D">
        <w:t>na</w:t>
      </w:r>
      <w:r w:rsidR="002E3109" w:rsidRPr="0085443D">
        <w:t xml:space="preserve"> </w:t>
      </w:r>
      <w:r w:rsidRPr="0085443D">
        <w:t>kvalitet</w:t>
      </w:r>
      <w:r w:rsidR="002E3109" w:rsidRPr="0085443D">
        <w:t xml:space="preserve"> </w:t>
      </w:r>
      <w:r w:rsidRPr="0085443D">
        <w:t>zemljišta</w:t>
      </w:r>
      <w:r w:rsidR="002E3109" w:rsidRPr="0085443D">
        <w:t xml:space="preserve"> </w:t>
      </w:r>
      <w:r w:rsidRPr="0085443D">
        <w:t>i</w:t>
      </w:r>
      <w:r w:rsidR="002E3109" w:rsidRPr="0085443D">
        <w:t xml:space="preserve"> </w:t>
      </w:r>
      <w:r w:rsidRPr="0085443D">
        <w:t>kvalitet</w:t>
      </w:r>
      <w:r w:rsidR="002E3109" w:rsidRPr="0085443D">
        <w:t xml:space="preserve"> </w:t>
      </w:r>
      <w:r w:rsidRPr="0085443D">
        <w:t>hrane</w:t>
      </w:r>
      <w:r w:rsidR="002E3109" w:rsidRPr="0085443D">
        <w:t xml:space="preserve">, </w:t>
      </w:r>
      <w:r w:rsidRPr="0085443D">
        <w:t>bespravna</w:t>
      </w:r>
      <w:r w:rsidR="002E3109" w:rsidRPr="0085443D">
        <w:t xml:space="preserve"> </w:t>
      </w:r>
      <w:r w:rsidRPr="0085443D">
        <w:t>gradnja</w:t>
      </w:r>
      <w:r w:rsidR="002E3109" w:rsidRPr="0085443D">
        <w:t xml:space="preserve">, </w:t>
      </w:r>
      <w:r w:rsidRPr="0085443D">
        <w:t>nizak</w:t>
      </w:r>
      <w:r w:rsidR="002E3109" w:rsidRPr="0085443D">
        <w:t xml:space="preserve"> </w:t>
      </w:r>
      <w:r w:rsidRPr="0085443D">
        <w:t>nivo</w:t>
      </w:r>
      <w:r w:rsidR="002E3109" w:rsidRPr="0085443D">
        <w:t xml:space="preserve"> </w:t>
      </w:r>
      <w:r w:rsidRPr="0085443D">
        <w:t>ekološke</w:t>
      </w:r>
      <w:r w:rsidR="002E3109" w:rsidRPr="0085443D">
        <w:t xml:space="preserve"> </w:t>
      </w:r>
      <w:r w:rsidRPr="0085443D">
        <w:t>svijesti</w:t>
      </w:r>
      <w:r w:rsidR="002E3109" w:rsidRPr="0085443D">
        <w:t xml:space="preserve"> </w:t>
      </w:r>
      <w:r w:rsidRPr="0085443D">
        <w:t>i</w:t>
      </w:r>
      <w:r w:rsidR="002E3109" w:rsidRPr="0085443D">
        <w:t xml:space="preserve"> </w:t>
      </w:r>
      <w:r w:rsidRPr="0085443D">
        <w:t>ekološkog</w:t>
      </w:r>
      <w:r w:rsidR="002E3109" w:rsidRPr="0085443D">
        <w:t xml:space="preserve"> </w:t>
      </w:r>
      <w:r w:rsidRPr="0085443D">
        <w:t>ponašanja</w:t>
      </w:r>
      <w:r w:rsidR="002E3109" w:rsidRPr="0085443D">
        <w:t xml:space="preserve">, </w:t>
      </w:r>
      <w:r w:rsidRPr="0085443D">
        <w:t>nedovoljan</w:t>
      </w:r>
      <w:r w:rsidR="002E3109" w:rsidRPr="0085443D">
        <w:t xml:space="preserve"> </w:t>
      </w:r>
      <w:r w:rsidRPr="0085443D">
        <w:t>broj</w:t>
      </w:r>
      <w:r w:rsidR="002E3109" w:rsidRPr="0085443D">
        <w:t xml:space="preserve"> </w:t>
      </w:r>
      <w:r w:rsidRPr="0085443D">
        <w:t>službi</w:t>
      </w:r>
      <w:r w:rsidR="002E3109" w:rsidRPr="0085443D">
        <w:t xml:space="preserve"> </w:t>
      </w:r>
      <w:r w:rsidRPr="0085443D">
        <w:t>koje</w:t>
      </w:r>
      <w:r w:rsidR="002E3109" w:rsidRPr="0085443D">
        <w:t xml:space="preserve"> </w:t>
      </w:r>
      <w:r w:rsidRPr="0085443D">
        <w:t>se</w:t>
      </w:r>
      <w:r w:rsidR="002E3109" w:rsidRPr="0085443D">
        <w:t xml:space="preserve"> </w:t>
      </w:r>
      <w:r w:rsidRPr="0085443D">
        <w:t>bave</w:t>
      </w:r>
      <w:r w:rsidR="002E3109" w:rsidRPr="0085443D">
        <w:t xml:space="preserve"> </w:t>
      </w:r>
      <w:r w:rsidRPr="0085443D">
        <w:t>problematikom</w:t>
      </w:r>
      <w:r w:rsidR="002E3109" w:rsidRPr="0085443D">
        <w:t xml:space="preserve"> </w:t>
      </w:r>
      <w:r w:rsidRPr="0085443D">
        <w:t>životne</w:t>
      </w:r>
      <w:r w:rsidR="002E3109" w:rsidRPr="0085443D">
        <w:t xml:space="preserve"> </w:t>
      </w:r>
      <w:r w:rsidRPr="0085443D">
        <w:t>sredine</w:t>
      </w:r>
      <w:r w:rsidR="002E3109" w:rsidRPr="0085443D">
        <w:t xml:space="preserve"> </w:t>
      </w:r>
      <w:r w:rsidRPr="0085443D">
        <w:t>i</w:t>
      </w:r>
      <w:r w:rsidR="002E3109" w:rsidRPr="0085443D">
        <w:t xml:space="preserve"> </w:t>
      </w:r>
      <w:r w:rsidRPr="0085443D">
        <w:t>neadekvatno</w:t>
      </w:r>
      <w:r w:rsidR="002E3109" w:rsidRPr="0085443D">
        <w:t xml:space="preserve"> </w:t>
      </w:r>
      <w:r w:rsidRPr="0085443D">
        <w:t>sprovođenje</w:t>
      </w:r>
      <w:r w:rsidR="002E3109" w:rsidRPr="0085443D">
        <w:t xml:space="preserve"> </w:t>
      </w:r>
      <w:r w:rsidRPr="0085443D">
        <w:t>zakonskih</w:t>
      </w:r>
      <w:r w:rsidR="002E3109" w:rsidRPr="0085443D">
        <w:t xml:space="preserve"> </w:t>
      </w:r>
      <w:r w:rsidRPr="0085443D">
        <w:t>mjera</w:t>
      </w:r>
      <w:r w:rsidR="002E3109" w:rsidRPr="0085443D">
        <w:t>.</w:t>
      </w:r>
    </w:p>
    <w:p w14:paraId="43F59115" w14:textId="77777777" w:rsidR="000549B6" w:rsidRDefault="000549B6" w:rsidP="00A03059">
      <w:pPr>
        <w:jc w:val="both"/>
      </w:pPr>
      <w:r w:rsidRPr="0085443D">
        <w:t xml:space="preserve">Pozitivan uticaj na zaštitu životne sredine bi imalo i rješavanje pitanja toplifikacije grada na odgovarajući način, te unapređenje energetske efikasnosti. </w:t>
      </w:r>
    </w:p>
    <w:p w14:paraId="3ECB9AEF" w14:textId="4A3DB2AA" w:rsidR="00D97A44" w:rsidRPr="0085443D" w:rsidRDefault="00D97A44" w:rsidP="00A03059">
      <w:pPr>
        <w:jc w:val="both"/>
      </w:pPr>
      <w:r w:rsidRPr="001E28F0">
        <w:rPr>
          <w:highlight w:val="cyan"/>
        </w:rPr>
        <w:t xml:space="preserve">Imajući u vidu brojnost utvrđenih problema za čije rješenje će biti potrebno duže vrijeme i investicje, u narednom periodu implementacije opština bi se trebala </w:t>
      </w:r>
      <w:r w:rsidR="002826B9" w:rsidRPr="001E28F0">
        <w:rPr>
          <w:highlight w:val="cyan"/>
        </w:rPr>
        <w:t xml:space="preserve">prioritetno </w:t>
      </w:r>
      <w:r w:rsidRPr="001E28F0">
        <w:rPr>
          <w:highlight w:val="cyan"/>
        </w:rPr>
        <w:t xml:space="preserve">fokusirati na </w:t>
      </w:r>
      <w:r w:rsidR="001E28F0" w:rsidRPr="001E28F0">
        <w:rPr>
          <w:highlight w:val="cyan"/>
        </w:rPr>
        <w:t>unapređenje kapaciteta za zbrinjavanje čvrstog otpada i otpadnih voda, poboljšanje energetske efikasnosti javnih objekata, te smanjenje rizika od elementarnih nepogoda.</w:t>
      </w:r>
    </w:p>
    <w:p w14:paraId="2403A788" w14:textId="77777777" w:rsidR="00A03059" w:rsidRPr="0085443D" w:rsidRDefault="00A03059" w:rsidP="00A03059">
      <w:pPr>
        <w:spacing w:after="80"/>
        <w:rPr>
          <w:b/>
          <w:i/>
        </w:rPr>
      </w:pPr>
    </w:p>
    <w:p w14:paraId="3B3EC4AE" w14:textId="77777777" w:rsidR="00A03059" w:rsidRPr="0085443D" w:rsidRDefault="00A03059" w:rsidP="00A03059">
      <w:pPr>
        <w:spacing w:after="80"/>
        <w:rPr>
          <w:b/>
          <w:i/>
        </w:rPr>
      </w:pPr>
      <w:r w:rsidRPr="0085443D">
        <w:rPr>
          <w:b/>
          <w:i/>
        </w:rPr>
        <w:t>Stanje vazduha</w:t>
      </w:r>
    </w:p>
    <w:p w14:paraId="720C0A7E" w14:textId="4DBD2611" w:rsidR="00A02EC1" w:rsidRPr="0085443D" w:rsidRDefault="007B3DED" w:rsidP="00A03059">
      <w:pPr>
        <w:jc w:val="both"/>
      </w:pPr>
      <w:r w:rsidRPr="0085443D">
        <w:t>Na</w:t>
      </w:r>
      <w:r w:rsidR="00A02EC1" w:rsidRPr="0085443D">
        <w:t xml:space="preserve"> </w:t>
      </w:r>
      <w:r w:rsidRPr="0085443D">
        <w:t>području</w:t>
      </w:r>
      <w:r w:rsidR="00A02EC1" w:rsidRPr="0085443D">
        <w:t xml:space="preserve"> </w:t>
      </w:r>
      <w:r w:rsidRPr="0085443D">
        <w:t>opštine</w:t>
      </w:r>
      <w:r w:rsidR="00A02EC1" w:rsidRPr="0085443D">
        <w:t xml:space="preserve"> </w:t>
      </w:r>
      <w:r w:rsidRPr="0085443D">
        <w:t>Prnjavor</w:t>
      </w:r>
      <w:r w:rsidR="00A02EC1" w:rsidRPr="0085443D">
        <w:t xml:space="preserve"> </w:t>
      </w:r>
      <w:r w:rsidRPr="0085443D">
        <w:t>ne</w:t>
      </w:r>
      <w:r w:rsidR="00A02EC1" w:rsidRPr="0085443D">
        <w:t xml:space="preserve"> </w:t>
      </w:r>
      <w:r w:rsidRPr="0085443D">
        <w:t>postoji</w:t>
      </w:r>
      <w:r w:rsidR="00A02EC1" w:rsidRPr="0085443D">
        <w:t xml:space="preserve"> </w:t>
      </w:r>
      <w:r w:rsidRPr="0085443D">
        <w:t>kontinuirano</w:t>
      </w:r>
      <w:r w:rsidR="00A02EC1" w:rsidRPr="0085443D">
        <w:t xml:space="preserve"> </w:t>
      </w:r>
      <w:r w:rsidRPr="0085443D">
        <w:t>mjerenje</w:t>
      </w:r>
      <w:r w:rsidR="00A02EC1" w:rsidRPr="0085443D">
        <w:t xml:space="preserve"> </w:t>
      </w:r>
      <w:r w:rsidRPr="0085443D">
        <w:t>kvaliteta</w:t>
      </w:r>
      <w:r w:rsidR="00A02EC1" w:rsidRPr="0085443D">
        <w:t xml:space="preserve"> </w:t>
      </w:r>
      <w:r w:rsidRPr="0085443D">
        <w:t>vazduha</w:t>
      </w:r>
      <w:r w:rsidR="00A02EC1" w:rsidRPr="0085443D">
        <w:t xml:space="preserve">, </w:t>
      </w:r>
      <w:r w:rsidRPr="0085443D">
        <w:t>a</w:t>
      </w:r>
      <w:r w:rsidR="00A02EC1" w:rsidRPr="0085443D">
        <w:t xml:space="preserve"> </w:t>
      </w:r>
      <w:r w:rsidRPr="0085443D">
        <w:t>jedini</w:t>
      </w:r>
      <w:r w:rsidR="00A02EC1" w:rsidRPr="0085443D">
        <w:t xml:space="preserve"> </w:t>
      </w:r>
      <w:r w:rsidRPr="0085443D">
        <w:t>dostupni</w:t>
      </w:r>
      <w:r w:rsidR="00A02EC1" w:rsidRPr="0085443D">
        <w:t xml:space="preserve"> </w:t>
      </w:r>
      <w:r w:rsidRPr="0085443D">
        <w:t>rezultati</w:t>
      </w:r>
      <w:r w:rsidR="00A02EC1" w:rsidRPr="0085443D">
        <w:t xml:space="preserve"> </w:t>
      </w:r>
      <w:r w:rsidRPr="0085443D">
        <w:t>su</w:t>
      </w:r>
      <w:r w:rsidR="00A02EC1" w:rsidRPr="0085443D">
        <w:t xml:space="preserve"> </w:t>
      </w:r>
      <w:r w:rsidRPr="0085443D">
        <w:t>oni</w:t>
      </w:r>
      <w:r w:rsidR="00A02EC1" w:rsidRPr="0085443D">
        <w:t xml:space="preserve"> </w:t>
      </w:r>
      <w:r w:rsidRPr="0085443D">
        <w:t>dobijeni</w:t>
      </w:r>
      <w:r w:rsidR="00A02EC1" w:rsidRPr="0085443D">
        <w:t xml:space="preserve"> </w:t>
      </w:r>
      <w:r w:rsidRPr="0085443D">
        <w:t>mjerenjima</w:t>
      </w:r>
      <w:r w:rsidR="00A02EC1" w:rsidRPr="0085443D">
        <w:t xml:space="preserve"> </w:t>
      </w:r>
      <w:r w:rsidRPr="0085443D">
        <w:t>vršenim</w:t>
      </w:r>
      <w:r w:rsidR="00A02EC1" w:rsidRPr="0085443D">
        <w:t xml:space="preserve"> </w:t>
      </w:r>
      <w:r w:rsidRPr="0085443D">
        <w:t>za</w:t>
      </w:r>
      <w:r w:rsidR="00A02EC1" w:rsidRPr="0085443D">
        <w:t xml:space="preserve"> </w:t>
      </w:r>
      <w:r w:rsidRPr="0085443D">
        <w:t>potrebe</w:t>
      </w:r>
      <w:r w:rsidR="00A02EC1" w:rsidRPr="0085443D">
        <w:t xml:space="preserve"> </w:t>
      </w:r>
      <w:r w:rsidRPr="0085443D">
        <w:t>određivanja</w:t>
      </w:r>
      <w:r w:rsidR="00A02EC1" w:rsidRPr="0085443D">
        <w:t xml:space="preserve"> „</w:t>
      </w:r>
      <w:r w:rsidRPr="0085443D">
        <w:t>nultog</w:t>
      </w:r>
      <w:r w:rsidR="00A02EC1" w:rsidRPr="0085443D">
        <w:t xml:space="preserve"> </w:t>
      </w:r>
      <w:r w:rsidRPr="0085443D">
        <w:t>stanja</w:t>
      </w:r>
      <w:r w:rsidR="00A02EC1" w:rsidRPr="0085443D">
        <w:t xml:space="preserve">“ </w:t>
      </w:r>
      <w:r w:rsidRPr="0085443D">
        <w:t>uticaja</w:t>
      </w:r>
      <w:r w:rsidR="00A02EC1" w:rsidRPr="0085443D">
        <w:t xml:space="preserve"> </w:t>
      </w:r>
      <w:r w:rsidRPr="0085443D">
        <w:t>rudnika</w:t>
      </w:r>
      <w:r w:rsidR="00A02EC1" w:rsidRPr="0085443D">
        <w:t xml:space="preserve"> </w:t>
      </w:r>
      <w:r w:rsidRPr="0085443D">
        <w:t>Stanari</w:t>
      </w:r>
      <w:r w:rsidR="00A02EC1" w:rsidRPr="0085443D">
        <w:t xml:space="preserve"> </w:t>
      </w:r>
      <w:r w:rsidRPr="0085443D">
        <w:t>i</w:t>
      </w:r>
      <w:r w:rsidR="00A02EC1" w:rsidRPr="0085443D">
        <w:t xml:space="preserve"> </w:t>
      </w:r>
      <w:r w:rsidRPr="0085443D">
        <w:t>buduće</w:t>
      </w:r>
      <w:r w:rsidR="00A02EC1" w:rsidRPr="0085443D">
        <w:t xml:space="preserve"> </w:t>
      </w:r>
      <w:r w:rsidRPr="0085443D">
        <w:t>TE</w:t>
      </w:r>
      <w:r w:rsidR="00A02EC1" w:rsidRPr="0085443D">
        <w:t xml:space="preserve"> </w:t>
      </w:r>
      <w:r w:rsidRPr="0085443D">
        <w:t>Stanari</w:t>
      </w:r>
      <w:r w:rsidR="00A02EC1" w:rsidRPr="0085443D">
        <w:t xml:space="preserve">, </w:t>
      </w:r>
      <w:r w:rsidRPr="0085443D">
        <w:t>u</w:t>
      </w:r>
      <w:r w:rsidR="00A02EC1" w:rsidRPr="0085443D">
        <w:t xml:space="preserve"> </w:t>
      </w:r>
      <w:r w:rsidRPr="0085443D">
        <w:t>okviru</w:t>
      </w:r>
      <w:r w:rsidR="00A02EC1" w:rsidRPr="0085443D">
        <w:t xml:space="preserve"> </w:t>
      </w:r>
      <w:r w:rsidRPr="0085443D">
        <w:t>Elaborata</w:t>
      </w:r>
      <w:r w:rsidR="00A02EC1" w:rsidRPr="0085443D">
        <w:t xml:space="preserve"> </w:t>
      </w:r>
      <w:r w:rsidRPr="0085443D">
        <w:t>o</w:t>
      </w:r>
      <w:r w:rsidR="00A02EC1" w:rsidRPr="0085443D">
        <w:t xml:space="preserve"> </w:t>
      </w:r>
      <w:r w:rsidRPr="0085443D">
        <w:t>ispitivanju</w:t>
      </w:r>
      <w:r w:rsidR="00A02EC1" w:rsidRPr="0085443D">
        <w:t xml:space="preserve"> </w:t>
      </w:r>
      <w:r w:rsidRPr="0085443D">
        <w:t>kvaliteta</w:t>
      </w:r>
      <w:r w:rsidR="00A02EC1" w:rsidRPr="0085443D">
        <w:t xml:space="preserve"> </w:t>
      </w:r>
      <w:r w:rsidRPr="0085443D">
        <w:t>vazduha</w:t>
      </w:r>
      <w:r w:rsidR="00A02EC1" w:rsidRPr="0085443D">
        <w:t xml:space="preserve"> </w:t>
      </w:r>
      <w:r w:rsidRPr="0085443D">
        <w:t>na</w:t>
      </w:r>
      <w:r w:rsidR="00A02EC1" w:rsidRPr="0085443D">
        <w:t xml:space="preserve"> </w:t>
      </w:r>
      <w:r w:rsidRPr="0085443D">
        <w:t>prostoru</w:t>
      </w:r>
      <w:r w:rsidR="00A02EC1" w:rsidRPr="0085443D">
        <w:t xml:space="preserve"> </w:t>
      </w:r>
      <w:r w:rsidRPr="0085443D">
        <w:t>opštine</w:t>
      </w:r>
      <w:r w:rsidR="00A02EC1" w:rsidRPr="0085443D">
        <w:t xml:space="preserve"> </w:t>
      </w:r>
      <w:r w:rsidRPr="0085443D">
        <w:t>Prnjavor</w:t>
      </w:r>
      <w:r w:rsidR="00A02EC1" w:rsidRPr="0085443D">
        <w:t xml:space="preserve"> </w:t>
      </w:r>
      <w:r w:rsidRPr="0085443D">
        <w:t>tokom</w:t>
      </w:r>
      <w:r w:rsidR="00A02EC1" w:rsidRPr="0085443D">
        <w:t xml:space="preserve"> 2013. </w:t>
      </w:r>
      <w:r w:rsidRPr="0085443D">
        <w:t>godine</w:t>
      </w:r>
      <w:r w:rsidR="00A02EC1" w:rsidRPr="0085443D">
        <w:t xml:space="preserve">. </w:t>
      </w:r>
      <w:r w:rsidR="002826B9">
        <w:t>A</w:t>
      </w:r>
      <w:r w:rsidRPr="0085443D">
        <w:t>nalizirani</w:t>
      </w:r>
      <w:r w:rsidR="00A02EC1" w:rsidRPr="0085443D">
        <w:t xml:space="preserve"> </w:t>
      </w:r>
      <w:r w:rsidRPr="0085443D">
        <w:t>parametri</w:t>
      </w:r>
      <w:r w:rsidR="00A02EC1" w:rsidRPr="0085443D">
        <w:t xml:space="preserve"> </w:t>
      </w:r>
      <w:r w:rsidRPr="0085443D">
        <w:t>se</w:t>
      </w:r>
      <w:r w:rsidR="00A02EC1" w:rsidRPr="0085443D">
        <w:t xml:space="preserve"> </w:t>
      </w:r>
      <w:r w:rsidRPr="0085443D">
        <w:t>nalaze</w:t>
      </w:r>
      <w:r w:rsidR="00A02EC1" w:rsidRPr="0085443D">
        <w:t xml:space="preserve"> </w:t>
      </w:r>
      <w:r w:rsidRPr="0085443D">
        <w:t>u</w:t>
      </w:r>
      <w:r w:rsidR="00A02EC1" w:rsidRPr="0085443D">
        <w:t xml:space="preserve"> </w:t>
      </w:r>
      <w:r w:rsidRPr="0085443D">
        <w:t>propisanim</w:t>
      </w:r>
      <w:r w:rsidR="00A02EC1" w:rsidRPr="0085443D">
        <w:t xml:space="preserve"> </w:t>
      </w:r>
      <w:r w:rsidRPr="0085443D">
        <w:t>granicama</w:t>
      </w:r>
      <w:r w:rsidR="00A02EC1" w:rsidRPr="0085443D">
        <w:t xml:space="preserve"> </w:t>
      </w:r>
      <w:r w:rsidRPr="0085443D">
        <w:t>te</w:t>
      </w:r>
      <w:r w:rsidR="00A02EC1" w:rsidRPr="0085443D">
        <w:t xml:space="preserve"> </w:t>
      </w:r>
      <w:r w:rsidRPr="0085443D">
        <w:t>ne</w:t>
      </w:r>
      <w:r w:rsidR="00A02EC1" w:rsidRPr="0085443D">
        <w:t xml:space="preserve"> </w:t>
      </w:r>
      <w:r w:rsidRPr="0085443D">
        <w:t>predstavljaju</w:t>
      </w:r>
      <w:r w:rsidR="00A02EC1" w:rsidRPr="0085443D">
        <w:t xml:space="preserve"> </w:t>
      </w:r>
      <w:r w:rsidRPr="0085443D">
        <w:t>opasnost</w:t>
      </w:r>
      <w:r w:rsidR="00A02EC1" w:rsidRPr="0085443D">
        <w:t xml:space="preserve"> </w:t>
      </w:r>
      <w:r w:rsidRPr="0085443D">
        <w:t>po</w:t>
      </w:r>
      <w:r w:rsidR="00A02EC1" w:rsidRPr="0085443D">
        <w:t xml:space="preserve"> </w:t>
      </w:r>
      <w:r w:rsidRPr="0085443D">
        <w:t>okolinu</w:t>
      </w:r>
      <w:r w:rsidR="00A02EC1" w:rsidRPr="0085443D">
        <w:t xml:space="preserve">. </w:t>
      </w:r>
      <w:r w:rsidRPr="0085443D">
        <w:t>Međutim</w:t>
      </w:r>
      <w:r w:rsidR="00A02EC1" w:rsidRPr="0085443D">
        <w:t xml:space="preserve">, </w:t>
      </w:r>
      <w:r w:rsidRPr="0085443D">
        <w:t>na</w:t>
      </w:r>
      <w:r w:rsidR="00A02EC1" w:rsidRPr="0085443D">
        <w:t xml:space="preserve"> </w:t>
      </w:r>
      <w:r w:rsidRPr="0085443D">
        <w:t>osnovu</w:t>
      </w:r>
      <w:r w:rsidR="00A02EC1" w:rsidRPr="0085443D">
        <w:t xml:space="preserve"> </w:t>
      </w:r>
      <w:r w:rsidRPr="0085443D">
        <w:t>stavova</w:t>
      </w:r>
      <w:r w:rsidR="00A02EC1" w:rsidRPr="0085443D">
        <w:t xml:space="preserve"> </w:t>
      </w:r>
      <w:r w:rsidRPr="0085443D">
        <w:t>građana</w:t>
      </w:r>
      <w:r w:rsidR="00A02EC1" w:rsidRPr="0085443D">
        <w:t xml:space="preserve">, </w:t>
      </w:r>
      <w:r w:rsidRPr="0085443D">
        <w:t>nezadovoljavajuće</w:t>
      </w:r>
      <w:r w:rsidR="00A02EC1" w:rsidRPr="0085443D">
        <w:t xml:space="preserve"> </w:t>
      </w:r>
      <w:r w:rsidRPr="0085443D">
        <w:t>stanje</w:t>
      </w:r>
      <w:r w:rsidR="00A02EC1" w:rsidRPr="0085443D">
        <w:t xml:space="preserve"> </w:t>
      </w:r>
      <w:r w:rsidRPr="0085443D">
        <w:t>kvaliteta</w:t>
      </w:r>
      <w:r w:rsidR="00A02EC1" w:rsidRPr="0085443D">
        <w:t xml:space="preserve"> </w:t>
      </w:r>
      <w:r w:rsidRPr="0085443D">
        <w:t>vazduha</w:t>
      </w:r>
      <w:r w:rsidR="00A02EC1" w:rsidRPr="0085443D">
        <w:t xml:space="preserve"> </w:t>
      </w:r>
      <w:r w:rsidRPr="0085443D">
        <w:t>javlja</w:t>
      </w:r>
      <w:r w:rsidR="00A02EC1" w:rsidRPr="0085443D">
        <w:t xml:space="preserve"> </w:t>
      </w:r>
      <w:r w:rsidRPr="0085443D">
        <w:t>se</w:t>
      </w:r>
      <w:r w:rsidR="00A02EC1" w:rsidRPr="0085443D">
        <w:t xml:space="preserve"> </w:t>
      </w:r>
      <w:r w:rsidRPr="0085443D">
        <w:t>naročito</w:t>
      </w:r>
      <w:r w:rsidR="00A02EC1" w:rsidRPr="0085443D">
        <w:t xml:space="preserve"> </w:t>
      </w:r>
      <w:r w:rsidRPr="0085443D">
        <w:t>tokom</w:t>
      </w:r>
      <w:r w:rsidR="00A02EC1" w:rsidRPr="0085443D">
        <w:t xml:space="preserve"> </w:t>
      </w:r>
      <w:r w:rsidRPr="0085443D">
        <w:t>grejne</w:t>
      </w:r>
      <w:r w:rsidR="00A02EC1" w:rsidRPr="0085443D">
        <w:t xml:space="preserve"> </w:t>
      </w:r>
      <w:r w:rsidRPr="0085443D">
        <w:t>sezone</w:t>
      </w:r>
      <w:r w:rsidR="00A02EC1" w:rsidRPr="0085443D">
        <w:t xml:space="preserve">, </w:t>
      </w:r>
      <w:r w:rsidRPr="0085443D">
        <w:t>kada</w:t>
      </w:r>
      <w:r w:rsidR="00A02EC1" w:rsidRPr="0085443D">
        <w:t xml:space="preserve"> </w:t>
      </w:r>
      <w:r w:rsidRPr="0085443D">
        <w:t>je</w:t>
      </w:r>
      <w:r w:rsidR="00A02EC1" w:rsidRPr="0085443D">
        <w:t xml:space="preserve"> </w:t>
      </w:r>
      <w:r w:rsidRPr="0085443D">
        <w:t>izražena</w:t>
      </w:r>
      <w:r w:rsidR="00A02EC1" w:rsidRPr="0085443D">
        <w:t xml:space="preserve"> </w:t>
      </w:r>
      <w:r w:rsidRPr="0085443D">
        <w:t>pojava</w:t>
      </w:r>
      <w:r w:rsidR="00A02EC1" w:rsidRPr="0085443D">
        <w:t xml:space="preserve"> </w:t>
      </w:r>
      <w:r w:rsidRPr="0085443D">
        <w:t>smoga</w:t>
      </w:r>
      <w:r w:rsidR="00A02EC1" w:rsidRPr="0085443D">
        <w:t xml:space="preserve">. </w:t>
      </w:r>
      <w:r w:rsidRPr="0085443D">
        <w:t>Najznačajniji</w:t>
      </w:r>
      <w:r w:rsidR="00A02EC1" w:rsidRPr="0085443D">
        <w:t xml:space="preserve"> </w:t>
      </w:r>
      <w:r w:rsidRPr="0085443D">
        <w:t>je</w:t>
      </w:r>
      <w:r w:rsidR="00A02EC1" w:rsidRPr="0085443D">
        <w:t xml:space="preserve"> </w:t>
      </w:r>
      <w:r w:rsidRPr="0085443D">
        <w:t>pritisak</w:t>
      </w:r>
      <w:r w:rsidR="00A02EC1" w:rsidRPr="0085443D">
        <w:t xml:space="preserve"> </w:t>
      </w:r>
      <w:r w:rsidRPr="0085443D">
        <w:t>na</w:t>
      </w:r>
      <w:r w:rsidR="00A02EC1" w:rsidRPr="0085443D">
        <w:t xml:space="preserve"> </w:t>
      </w:r>
      <w:r w:rsidRPr="0085443D">
        <w:t>atmosferu</w:t>
      </w:r>
      <w:r w:rsidR="00A02EC1" w:rsidRPr="0085443D">
        <w:t xml:space="preserve"> </w:t>
      </w:r>
      <w:r w:rsidRPr="0085443D">
        <w:t>zbog</w:t>
      </w:r>
      <w:r w:rsidR="00A02EC1" w:rsidRPr="0085443D">
        <w:t xml:space="preserve"> </w:t>
      </w:r>
      <w:r w:rsidRPr="0085443D">
        <w:t>emisija</w:t>
      </w:r>
      <w:r w:rsidR="00A02EC1" w:rsidRPr="0085443D">
        <w:t xml:space="preserve"> </w:t>
      </w:r>
      <w:r w:rsidRPr="0085443D">
        <w:t>od</w:t>
      </w:r>
      <w:r w:rsidR="00A02EC1" w:rsidRPr="0085443D">
        <w:t xml:space="preserve"> </w:t>
      </w:r>
      <w:r w:rsidRPr="0085443D">
        <w:t>privrednih</w:t>
      </w:r>
      <w:r w:rsidR="00A02EC1" w:rsidRPr="0085443D">
        <w:t xml:space="preserve"> </w:t>
      </w:r>
      <w:r w:rsidRPr="0085443D">
        <w:t>subjekata</w:t>
      </w:r>
      <w:r w:rsidR="00A02EC1" w:rsidRPr="0085443D">
        <w:t xml:space="preserve">, </w:t>
      </w:r>
      <w:r w:rsidRPr="0085443D">
        <w:t>grijanja</w:t>
      </w:r>
      <w:r w:rsidR="00A02EC1" w:rsidRPr="0085443D">
        <w:t xml:space="preserve"> </w:t>
      </w:r>
      <w:r w:rsidRPr="0085443D">
        <w:t>stambenog</w:t>
      </w:r>
      <w:r w:rsidR="00A02EC1" w:rsidRPr="0085443D">
        <w:t xml:space="preserve">, </w:t>
      </w:r>
      <w:r w:rsidRPr="0085443D">
        <w:t>poslovnog</w:t>
      </w:r>
      <w:r w:rsidR="00A02EC1" w:rsidRPr="0085443D">
        <w:t xml:space="preserve"> </w:t>
      </w:r>
      <w:r w:rsidRPr="0085443D">
        <w:t>i</w:t>
      </w:r>
      <w:r w:rsidR="00A02EC1" w:rsidRPr="0085443D">
        <w:t xml:space="preserve"> </w:t>
      </w:r>
      <w:r w:rsidRPr="0085443D">
        <w:t>javnog</w:t>
      </w:r>
      <w:r w:rsidR="00A02EC1" w:rsidRPr="0085443D">
        <w:t xml:space="preserve"> </w:t>
      </w:r>
      <w:r w:rsidRPr="0085443D">
        <w:t>prostora</w:t>
      </w:r>
      <w:r w:rsidR="00A02EC1" w:rsidRPr="0085443D">
        <w:t xml:space="preserve">, </w:t>
      </w:r>
      <w:r w:rsidRPr="0085443D">
        <w:t>a</w:t>
      </w:r>
      <w:r w:rsidR="00A02EC1" w:rsidRPr="0085443D">
        <w:t xml:space="preserve"> </w:t>
      </w:r>
      <w:r w:rsidRPr="0085443D">
        <w:t>potom</w:t>
      </w:r>
      <w:r w:rsidR="00A02EC1" w:rsidRPr="0085443D">
        <w:t xml:space="preserve"> </w:t>
      </w:r>
      <w:r w:rsidRPr="0085443D">
        <w:t>od</w:t>
      </w:r>
      <w:r w:rsidR="00A02EC1" w:rsidRPr="0085443D">
        <w:t xml:space="preserve"> </w:t>
      </w:r>
      <w:r w:rsidRPr="0085443D">
        <w:t>emisija</w:t>
      </w:r>
      <w:r w:rsidR="00A02EC1" w:rsidRPr="0085443D">
        <w:t xml:space="preserve"> </w:t>
      </w:r>
      <w:r w:rsidRPr="0085443D">
        <w:t>iz</w:t>
      </w:r>
      <w:r w:rsidR="00A02EC1" w:rsidRPr="0085443D">
        <w:t xml:space="preserve"> </w:t>
      </w:r>
      <w:r w:rsidRPr="0085443D">
        <w:t>saobraćaja</w:t>
      </w:r>
      <w:r w:rsidR="00A02EC1" w:rsidRPr="0085443D">
        <w:t xml:space="preserve">, </w:t>
      </w:r>
      <w:r w:rsidRPr="0085443D">
        <w:t>deponija</w:t>
      </w:r>
      <w:r w:rsidR="00A02EC1" w:rsidRPr="0085443D">
        <w:t xml:space="preserve"> </w:t>
      </w:r>
      <w:r w:rsidRPr="0085443D">
        <w:t>otpada</w:t>
      </w:r>
      <w:r w:rsidR="00A02EC1" w:rsidRPr="0085443D">
        <w:t xml:space="preserve"> </w:t>
      </w:r>
      <w:r w:rsidRPr="0085443D">
        <w:t>i</w:t>
      </w:r>
      <w:r w:rsidR="00A02EC1" w:rsidRPr="0085443D">
        <w:t xml:space="preserve"> </w:t>
      </w:r>
      <w:r w:rsidRPr="0085443D">
        <w:t>emisija</w:t>
      </w:r>
      <w:r w:rsidR="00A02EC1" w:rsidRPr="0085443D">
        <w:t xml:space="preserve"> </w:t>
      </w:r>
      <w:r w:rsidRPr="0085443D">
        <w:t>iz</w:t>
      </w:r>
      <w:r w:rsidR="00A02EC1" w:rsidRPr="0085443D">
        <w:t xml:space="preserve"> </w:t>
      </w:r>
      <w:r w:rsidRPr="0085443D">
        <w:t>poljoprivrednih</w:t>
      </w:r>
      <w:r w:rsidR="00A02EC1" w:rsidRPr="0085443D">
        <w:t xml:space="preserve"> </w:t>
      </w:r>
      <w:r w:rsidRPr="0085443D">
        <w:t>djelatnosti</w:t>
      </w:r>
      <w:r w:rsidR="00A02EC1" w:rsidRPr="0085443D">
        <w:t xml:space="preserve">. </w:t>
      </w:r>
      <w:r w:rsidRPr="0085443D">
        <w:t>Međutim</w:t>
      </w:r>
      <w:r w:rsidR="00A02EC1" w:rsidRPr="0085443D">
        <w:t xml:space="preserve">, </w:t>
      </w:r>
      <w:r w:rsidRPr="0085443D">
        <w:t>na</w:t>
      </w:r>
      <w:r w:rsidR="00A02EC1" w:rsidRPr="0085443D">
        <w:t xml:space="preserve"> </w:t>
      </w:r>
      <w:r w:rsidRPr="0085443D">
        <w:t>osnovu</w:t>
      </w:r>
      <w:r w:rsidR="00A02EC1" w:rsidRPr="0085443D">
        <w:t xml:space="preserve"> </w:t>
      </w:r>
      <w:r w:rsidR="00B06DF9" w:rsidRPr="0085443D">
        <w:t>analize</w:t>
      </w:r>
      <w:r w:rsidR="00A02EC1" w:rsidRPr="0085443D">
        <w:t xml:space="preserve"> </w:t>
      </w:r>
      <w:r w:rsidRPr="0085443D">
        <w:t>sakupljenih</w:t>
      </w:r>
      <w:r w:rsidR="00A02EC1" w:rsidRPr="0085443D">
        <w:t xml:space="preserve"> </w:t>
      </w:r>
      <w:r w:rsidRPr="0085443D">
        <w:t>informacija</w:t>
      </w:r>
      <w:r w:rsidR="00A02EC1" w:rsidRPr="0085443D">
        <w:t xml:space="preserve"> </w:t>
      </w:r>
      <w:r w:rsidRPr="0085443D">
        <w:t>može</w:t>
      </w:r>
      <w:r w:rsidR="00A02EC1" w:rsidRPr="0085443D">
        <w:t xml:space="preserve"> </w:t>
      </w:r>
      <w:r w:rsidRPr="0085443D">
        <w:t>se</w:t>
      </w:r>
      <w:r w:rsidR="00A02EC1" w:rsidRPr="0085443D">
        <w:t xml:space="preserve"> </w:t>
      </w:r>
      <w:r w:rsidRPr="0085443D">
        <w:t>zaključiti</w:t>
      </w:r>
      <w:r w:rsidR="00A02EC1" w:rsidRPr="0085443D">
        <w:t xml:space="preserve"> </w:t>
      </w:r>
      <w:r w:rsidRPr="0085443D">
        <w:t>da</w:t>
      </w:r>
      <w:r w:rsidR="00A02EC1" w:rsidRPr="0085443D">
        <w:t xml:space="preserve"> </w:t>
      </w:r>
      <w:r w:rsidRPr="0085443D">
        <w:t>su</w:t>
      </w:r>
      <w:r w:rsidR="00A02EC1" w:rsidRPr="0085443D">
        <w:t xml:space="preserve"> </w:t>
      </w:r>
      <w:r w:rsidRPr="0085443D">
        <w:t>kontinuirani</w:t>
      </w:r>
      <w:r w:rsidR="00A02EC1" w:rsidRPr="0085443D">
        <w:t xml:space="preserve"> </w:t>
      </w:r>
      <w:r w:rsidRPr="0085443D">
        <w:t>zagađivači</w:t>
      </w:r>
      <w:r w:rsidR="00A02EC1" w:rsidRPr="0085443D">
        <w:t xml:space="preserve"> </w:t>
      </w:r>
      <w:r w:rsidRPr="0085443D">
        <w:t>vazduha</w:t>
      </w:r>
      <w:r w:rsidR="00A02EC1" w:rsidRPr="0085443D">
        <w:t xml:space="preserve"> </w:t>
      </w:r>
      <w:r w:rsidRPr="0085443D">
        <w:t>industrijska</w:t>
      </w:r>
      <w:r w:rsidR="00A02EC1" w:rsidRPr="0085443D">
        <w:t xml:space="preserve"> </w:t>
      </w:r>
      <w:r w:rsidRPr="0085443D">
        <w:t>postrojenja</w:t>
      </w:r>
      <w:r w:rsidR="00A02EC1" w:rsidRPr="0085443D">
        <w:t xml:space="preserve"> </w:t>
      </w:r>
      <w:r w:rsidRPr="0085443D">
        <w:t>i</w:t>
      </w:r>
      <w:r w:rsidR="00A02EC1" w:rsidRPr="0085443D">
        <w:t xml:space="preserve"> </w:t>
      </w:r>
      <w:r w:rsidRPr="0085443D">
        <w:t>privredni</w:t>
      </w:r>
      <w:r w:rsidR="00A02EC1" w:rsidRPr="0085443D">
        <w:t xml:space="preserve"> </w:t>
      </w:r>
      <w:r w:rsidRPr="0085443D">
        <w:t>subjekti</w:t>
      </w:r>
      <w:r w:rsidR="00A02EC1" w:rsidRPr="0085443D">
        <w:t xml:space="preserve">, </w:t>
      </w:r>
      <w:r w:rsidRPr="0085443D">
        <w:t>saobraćaj</w:t>
      </w:r>
      <w:r w:rsidR="00A02EC1" w:rsidRPr="0085443D">
        <w:t xml:space="preserve"> </w:t>
      </w:r>
      <w:r w:rsidRPr="0085443D">
        <w:t>i</w:t>
      </w:r>
      <w:r w:rsidR="00A02EC1" w:rsidRPr="0085443D">
        <w:t xml:space="preserve"> </w:t>
      </w:r>
      <w:r w:rsidRPr="0085443D">
        <w:t>transport</w:t>
      </w:r>
      <w:r w:rsidR="00A02EC1" w:rsidRPr="0085443D">
        <w:t xml:space="preserve">, </w:t>
      </w:r>
      <w:r w:rsidRPr="0085443D">
        <w:t>a</w:t>
      </w:r>
      <w:r w:rsidR="00A02EC1" w:rsidRPr="0085443D">
        <w:t xml:space="preserve"> </w:t>
      </w:r>
      <w:r w:rsidRPr="0085443D">
        <w:t>značajan</w:t>
      </w:r>
      <w:r w:rsidR="00A02EC1" w:rsidRPr="0085443D">
        <w:t xml:space="preserve"> </w:t>
      </w:r>
      <w:r w:rsidRPr="0085443D">
        <w:t>privremen</w:t>
      </w:r>
      <w:r w:rsidR="00B06DF9" w:rsidRPr="0085443D">
        <w:t>i</w:t>
      </w:r>
      <w:r w:rsidR="00A02EC1" w:rsidRPr="0085443D">
        <w:t xml:space="preserve"> </w:t>
      </w:r>
      <w:r w:rsidRPr="0085443D">
        <w:t>zagađivač</w:t>
      </w:r>
      <w:r w:rsidR="00A02EC1" w:rsidRPr="0085443D">
        <w:t xml:space="preserve"> </w:t>
      </w:r>
      <w:r w:rsidRPr="0085443D">
        <w:t>su</w:t>
      </w:r>
      <w:r w:rsidR="00A02EC1" w:rsidRPr="0085443D">
        <w:t xml:space="preserve"> </w:t>
      </w:r>
      <w:r w:rsidRPr="0085443D">
        <w:t>ložišta</w:t>
      </w:r>
      <w:r w:rsidR="00A02EC1" w:rsidRPr="0085443D">
        <w:t xml:space="preserve"> </w:t>
      </w:r>
      <w:r w:rsidRPr="0085443D">
        <w:t>i</w:t>
      </w:r>
      <w:r w:rsidR="00A02EC1" w:rsidRPr="0085443D">
        <w:t xml:space="preserve"> </w:t>
      </w:r>
      <w:r w:rsidRPr="0085443D">
        <w:t>kotlovnice</w:t>
      </w:r>
      <w:r w:rsidR="00A02EC1" w:rsidRPr="0085443D">
        <w:t xml:space="preserve"> (</w:t>
      </w:r>
      <w:r w:rsidRPr="0085443D">
        <w:t>kućne</w:t>
      </w:r>
      <w:r w:rsidR="00A02EC1" w:rsidRPr="0085443D">
        <w:t xml:space="preserve"> </w:t>
      </w:r>
      <w:r w:rsidRPr="0085443D">
        <w:t>i</w:t>
      </w:r>
      <w:r w:rsidR="00A02EC1" w:rsidRPr="0085443D">
        <w:t xml:space="preserve"> </w:t>
      </w:r>
      <w:r w:rsidRPr="0085443D">
        <w:t>fabričke</w:t>
      </w:r>
      <w:r w:rsidR="00A02EC1" w:rsidRPr="0085443D">
        <w:t xml:space="preserve">) </w:t>
      </w:r>
      <w:r w:rsidRPr="0085443D">
        <w:t>usljed</w:t>
      </w:r>
      <w:r w:rsidR="00A02EC1" w:rsidRPr="0085443D">
        <w:t xml:space="preserve"> </w:t>
      </w:r>
      <w:r w:rsidRPr="0085443D">
        <w:t>korišćenja</w:t>
      </w:r>
      <w:r w:rsidR="00A02EC1" w:rsidRPr="0085443D">
        <w:t xml:space="preserve"> </w:t>
      </w:r>
      <w:r w:rsidRPr="0085443D">
        <w:t>fosilnih</w:t>
      </w:r>
      <w:r w:rsidR="00A02EC1" w:rsidRPr="0085443D">
        <w:t xml:space="preserve"> </w:t>
      </w:r>
      <w:r w:rsidRPr="0085443D">
        <w:t>goriva</w:t>
      </w:r>
      <w:r w:rsidR="00A02EC1" w:rsidRPr="0085443D">
        <w:t xml:space="preserve">. </w:t>
      </w:r>
      <w:r w:rsidRPr="0085443D">
        <w:t>Zato</w:t>
      </w:r>
      <w:r w:rsidR="00A02EC1" w:rsidRPr="0085443D">
        <w:t xml:space="preserve"> </w:t>
      </w:r>
      <w:r w:rsidRPr="0085443D">
        <w:t>je</w:t>
      </w:r>
      <w:r w:rsidR="00A02EC1" w:rsidRPr="0085443D">
        <w:t xml:space="preserve"> </w:t>
      </w:r>
      <w:r w:rsidRPr="0085443D">
        <w:t>neophodno</w:t>
      </w:r>
      <w:r w:rsidR="00A02EC1" w:rsidRPr="0085443D">
        <w:t xml:space="preserve"> </w:t>
      </w:r>
      <w:r w:rsidRPr="0085443D">
        <w:t>usmjeriti</w:t>
      </w:r>
      <w:r w:rsidR="00A02EC1" w:rsidRPr="0085443D">
        <w:t xml:space="preserve"> </w:t>
      </w:r>
      <w:r w:rsidRPr="0085443D">
        <w:t>akcije</w:t>
      </w:r>
      <w:r w:rsidR="00A02EC1" w:rsidRPr="0085443D">
        <w:t xml:space="preserve"> </w:t>
      </w:r>
      <w:r w:rsidRPr="0085443D">
        <w:t>na</w:t>
      </w:r>
      <w:r w:rsidR="00A02EC1" w:rsidRPr="0085443D">
        <w:t xml:space="preserve"> </w:t>
      </w:r>
      <w:r w:rsidRPr="0085443D">
        <w:t>zamjenu</w:t>
      </w:r>
      <w:r w:rsidR="00A02EC1" w:rsidRPr="0085443D">
        <w:t xml:space="preserve"> </w:t>
      </w:r>
      <w:r w:rsidRPr="0085443D">
        <w:t>postojećih</w:t>
      </w:r>
      <w:r w:rsidR="00A02EC1" w:rsidRPr="0085443D">
        <w:t xml:space="preserve"> </w:t>
      </w:r>
      <w:r w:rsidRPr="0085443D">
        <w:t>goriva</w:t>
      </w:r>
      <w:r w:rsidR="00A02EC1" w:rsidRPr="0085443D">
        <w:t xml:space="preserve"> </w:t>
      </w:r>
      <w:r w:rsidRPr="0085443D">
        <w:t>upotrebom</w:t>
      </w:r>
      <w:r w:rsidR="00A02EC1" w:rsidRPr="0085443D">
        <w:t xml:space="preserve"> </w:t>
      </w:r>
      <w:r w:rsidRPr="0085443D">
        <w:t>ekološki</w:t>
      </w:r>
      <w:r w:rsidR="00A02EC1" w:rsidRPr="0085443D">
        <w:t xml:space="preserve"> </w:t>
      </w:r>
      <w:r w:rsidRPr="0085443D">
        <w:t>povoljnih</w:t>
      </w:r>
      <w:r w:rsidR="00A02EC1" w:rsidRPr="0085443D">
        <w:t xml:space="preserve"> </w:t>
      </w:r>
      <w:r w:rsidRPr="0085443D">
        <w:t>goriva</w:t>
      </w:r>
      <w:r w:rsidR="00A02EC1" w:rsidRPr="0085443D">
        <w:t xml:space="preserve"> </w:t>
      </w:r>
      <w:r w:rsidRPr="0085443D">
        <w:t>za</w:t>
      </w:r>
      <w:r w:rsidR="00A02EC1" w:rsidRPr="0085443D">
        <w:t xml:space="preserve"> </w:t>
      </w:r>
      <w:r w:rsidRPr="0085443D">
        <w:t>zagrijavanje</w:t>
      </w:r>
      <w:r w:rsidR="00A02EC1" w:rsidRPr="0085443D">
        <w:t xml:space="preserve"> (</w:t>
      </w:r>
      <w:r w:rsidRPr="0085443D">
        <w:t>nisko</w:t>
      </w:r>
      <w:r w:rsidR="00A02EC1" w:rsidRPr="0085443D">
        <w:t xml:space="preserve"> </w:t>
      </w:r>
      <w:r w:rsidRPr="0085443D">
        <w:t>sumporna</w:t>
      </w:r>
      <w:r w:rsidR="00A02EC1" w:rsidRPr="0085443D">
        <w:t xml:space="preserve"> </w:t>
      </w:r>
      <w:r w:rsidRPr="0085443D">
        <w:t>goriva</w:t>
      </w:r>
      <w:r w:rsidR="00A02EC1" w:rsidRPr="0085443D">
        <w:t xml:space="preserve">, </w:t>
      </w:r>
      <w:r w:rsidRPr="0085443D">
        <w:t>energija</w:t>
      </w:r>
      <w:r w:rsidR="00A02EC1" w:rsidRPr="0085443D">
        <w:t xml:space="preserve"> </w:t>
      </w:r>
      <w:r w:rsidRPr="0085443D">
        <w:t>vjetra</w:t>
      </w:r>
      <w:r w:rsidR="00A02EC1" w:rsidRPr="0085443D">
        <w:t xml:space="preserve">, </w:t>
      </w:r>
      <w:r w:rsidRPr="0085443D">
        <w:t>solarna</w:t>
      </w:r>
      <w:r w:rsidR="00A02EC1" w:rsidRPr="0085443D">
        <w:t xml:space="preserve"> </w:t>
      </w:r>
      <w:r w:rsidRPr="0085443D">
        <w:t>energija</w:t>
      </w:r>
      <w:r w:rsidR="00A02EC1" w:rsidRPr="0085443D">
        <w:t xml:space="preserve">, </w:t>
      </w:r>
      <w:r w:rsidRPr="0085443D">
        <w:t>geotermalna</w:t>
      </w:r>
      <w:r w:rsidR="00A02EC1" w:rsidRPr="0085443D">
        <w:t xml:space="preserve">, </w:t>
      </w:r>
      <w:r w:rsidRPr="0085443D">
        <w:t>energija</w:t>
      </w:r>
      <w:r w:rsidR="00A02EC1" w:rsidRPr="0085443D">
        <w:t xml:space="preserve"> </w:t>
      </w:r>
      <w:r w:rsidRPr="0085443D">
        <w:t>biomase</w:t>
      </w:r>
      <w:r w:rsidR="00A02EC1" w:rsidRPr="0085443D">
        <w:t xml:space="preserve"> </w:t>
      </w:r>
      <w:r w:rsidRPr="0085443D">
        <w:t>i</w:t>
      </w:r>
      <w:r w:rsidR="00A02EC1" w:rsidRPr="0085443D">
        <w:t xml:space="preserve"> </w:t>
      </w:r>
      <w:r w:rsidRPr="0085443D">
        <w:t>centralizacija</w:t>
      </w:r>
      <w:r w:rsidR="00A02EC1" w:rsidRPr="0085443D">
        <w:t xml:space="preserve"> </w:t>
      </w:r>
      <w:r w:rsidRPr="0085443D">
        <w:t>sistema</w:t>
      </w:r>
      <w:r w:rsidR="00A02EC1" w:rsidRPr="0085443D">
        <w:t xml:space="preserve"> </w:t>
      </w:r>
      <w:r w:rsidRPr="0085443D">
        <w:t>za</w:t>
      </w:r>
      <w:r w:rsidR="00A02EC1" w:rsidRPr="0085443D">
        <w:t xml:space="preserve"> </w:t>
      </w:r>
      <w:r w:rsidRPr="0085443D">
        <w:t>zagrijavanje</w:t>
      </w:r>
      <w:r w:rsidR="00A02EC1" w:rsidRPr="0085443D">
        <w:t>).</w:t>
      </w:r>
    </w:p>
    <w:p w14:paraId="52FB8852" w14:textId="77777777" w:rsidR="00A02EC1" w:rsidRPr="0085443D" w:rsidRDefault="007B3DED" w:rsidP="00A02EC1">
      <w:pPr>
        <w:widowControl w:val="0"/>
        <w:overflowPunct w:val="0"/>
        <w:autoSpaceDE w:val="0"/>
        <w:autoSpaceDN w:val="0"/>
        <w:adjustRightInd w:val="0"/>
        <w:jc w:val="both"/>
        <w:rPr>
          <w:rFonts w:cs="Calibri"/>
        </w:rPr>
      </w:pPr>
      <w:r w:rsidRPr="0085443D">
        <w:rPr>
          <w:rFonts w:cs="Calibri"/>
        </w:rPr>
        <w:lastRenderedPageBreak/>
        <w:t>U</w:t>
      </w:r>
      <w:r w:rsidR="00A02EC1" w:rsidRPr="0085443D">
        <w:rPr>
          <w:rFonts w:cs="Calibri"/>
        </w:rPr>
        <w:t xml:space="preserve"> </w:t>
      </w:r>
      <w:r w:rsidRPr="0085443D">
        <w:rPr>
          <w:rFonts w:cs="Calibri"/>
        </w:rPr>
        <w:t>cilju</w:t>
      </w:r>
      <w:r w:rsidR="00A02EC1" w:rsidRPr="0085443D">
        <w:rPr>
          <w:rFonts w:cs="Calibri"/>
        </w:rPr>
        <w:t xml:space="preserve"> </w:t>
      </w:r>
      <w:r w:rsidRPr="0085443D">
        <w:rPr>
          <w:rFonts w:cs="Calibri"/>
        </w:rPr>
        <w:t>budućeg</w:t>
      </w:r>
      <w:r w:rsidR="00A02EC1" w:rsidRPr="0085443D">
        <w:rPr>
          <w:rFonts w:cs="Calibri"/>
        </w:rPr>
        <w:t xml:space="preserve"> </w:t>
      </w:r>
      <w:r w:rsidRPr="0085443D">
        <w:rPr>
          <w:rFonts w:cs="Calibri"/>
        </w:rPr>
        <w:t>sagledavanja</w:t>
      </w:r>
      <w:r w:rsidR="00A02EC1" w:rsidRPr="0085443D">
        <w:rPr>
          <w:rFonts w:cs="Calibri"/>
        </w:rPr>
        <w:t xml:space="preserve"> </w:t>
      </w:r>
      <w:r w:rsidRPr="0085443D">
        <w:rPr>
          <w:rFonts w:cs="Calibri"/>
        </w:rPr>
        <w:t>stanja</w:t>
      </w:r>
      <w:r w:rsidR="00A02EC1" w:rsidRPr="0085443D">
        <w:rPr>
          <w:rFonts w:cs="Calibri"/>
        </w:rPr>
        <w:t xml:space="preserve"> </w:t>
      </w:r>
      <w:r w:rsidRPr="0085443D">
        <w:rPr>
          <w:rFonts w:cs="Calibri"/>
        </w:rPr>
        <w:t>kvaliteta</w:t>
      </w:r>
      <w:r w:rsidR="00A02EC1" w:rsidRPr="0085443D">
        <w:rPr>
          <w:rFonts w:cs="Calibri"/>
        </w:rPr>
        <w:t xml:space="preserve"> </w:t>
      </w:r>
      <w:r w:rsidRPr="0085443D">
        <w:rPr>
          <w:rFonts w:cs="Calibri"/>
        </w:rPr>
        <w:t>vazduha</w:t>
      </w:r>
      <w:r w:rsidR="00A02EC1" w:rsidRPr="0085443D">
        <w:rPr>
          <w:rFonts w:cs="Calibri"/>
        </w:rPr>
        <w:t xml:space="preserve">, </w:t>
      </w:r>
      <w:r w:rsidRPr="0085443D">
        <w:rPr>
          <w:rFonts w:cs="Calibri"/>
        </w:rPr>
        <w:t>kao</w:t>
      </w:r>
      <w:r w:rsidR="00A02EC1" w:rsidRPr="0085443D">
        <w:rPr>
          <w:rFonts w:cs="Calibri"/>
        </w:rPr>
        <w:t xml:space="preserve"> </w:t>
      </w:r>
      <w:r w:rsidRPr="0085443D">
        <w:rPr>
          <w:rFonts w:cs="Calibri"/>
        </w:rPr>
        <w:t>i</w:t>
      </w:r>
      <w:r w:rsidR="00A02EC1" w:rsidRPr="0085443D">
        <w:rPr>
          <w:rFonts w:cs="Calibri"/>
        </w:rPr>
        <w:t xml:space="preserve"> </w:t>
      </w:r>
      <w:r w:rsidRPr="0085443D">
        <w:rPr>
          <w:rFonts w:cs="Calibri"/>
        </w:rPr>
        <w:t>njegovog</w:t>
      </w:r>
      <w:r w:rsidR="00A02EC1" w:rsidRPr="0085443D">
        <w:rPr>
          <w:rFonts w:cs="Calibri"/>
        </w:rPr>
        <w:t xml:space="preserve"> </w:t>
      </w:r>
      <w:r w:rsidRPr="0085443D">
        <w:rPr>
          <w:rFonts w:cs="Calibri"/>
        </w:rPr>
        <w:t>unapređenja</w:t>
      </w:r>
      <w:r w:rsidR="00A02EC1" w:rsidRPr="0085443D">
        <w:rPr>
          <w:rFonts w:cs="Calibri"/>
        </w:rPr>
        <w:t xml:space="preserve"> </w:t>
      </w:r>
      <w:r w:rsidRPr="0085443D">
        <w:rPr>
          <w:rFonts w:cs="Calibri"/>
        </w:rPr>
        <w:t>neophodno</w:t>
      </w:r>
      <w:r w:rsidR="00A02EC1" w:rsidRPr="0085443D">
        <w:rPr>
          <w:rFonts w:cs="Calibri"/>
        </w:rPr>
        <w:t xml:space="preserve"> </w:t>
      </w:r>
      <w:r w:rsidRPr="0085443D">
        <w:rPr>
          <w:rFonts w:cs="Calibri"/>
        </w:rPr>
        <w:t>je</w:t>
      </w:r>
      <w:r w:rsidR="00A02EC1" w:rsidRPr="0085443D">
        <w:rPr>
          <w:rFonts w:cs="Calibri"/>
        </w:rPr>
        <w:t xml:space="preserve"> </w:t>
      </w:r>
      <w:r w:rsidRPr="0085443D">
        <w:rPr>
          <w:rFonts w:cs="Calibri"/>
        </w:rPr>
        <w:t>uvesti</w:t>
      </w:r>
      <w:r w:rsidR="00A02EC1" w:rsidRPr="0085443D">
        <w:rPr>
          <w:rFonts w:cs="Calibri"/>
        </w:rPr>
        <w:t xml:space="preserve"> </w:t>
      </w:r>
      <w:r w:rsidRPr="0085443D">
        <w:rPr>
          <w:rFonts w:cs="Calibri"/>
        </w:rPr>
        <w:t>monitoring</w:t>
      </w:r>
      <w:r w:rsidR="00A02EC1" w:rsidRPr="0085443D">
        <w:rPr>
          <w:rFonts w:cs="Calibri"/>
        </w:rPr>
        <w:t xml:space="preserve"> </w:t>
      </w:r>
      <w:r w:rsidRPr="0085443D">
        <w:rPr>
          <w:rFonts w:cs="Calibri"/>
        </w:rPr>
        <w:t>emisije</w:t>
      </w:r>
      <w:r w:rsidR="00A02EC1" w:rsidRPr="0085443D">
        <w:rPr>
          <w:rFonts w:cs="Calibri"/>
        </w:rPr>
        <w:t xml:space="preserve"> </w:t>
      </w:r>
      <w:r w:rsidRPr="0085443D">
        <w:rPr>
          <w:rFonts w:cs="Calibri"/>
        </w:rPr>
        <w:t>i</w:t>
      </w:r>
      <w:r w:rsidR="00A02EC1" w:rsidRPr="0085443D">
        <w:rPr>
          <w:rFonts w:cs="Calibri"/>
        </w:rPr>
        <w:t xml:space="preserve"> </w:t>
      </w:r>
      <w:r w:rsidRPr="0085443D">
        <w:rPr>
          <w:rFonts w:cs="Calibri"/>
        </w:rPr>
        <w:t>izraditi</w:t>
      </w:r>
      <w:r w:rsidR="00A02EC1" w:rsidRPr="0085443D">
        <w:rPr>
          <w:rFonts w:cs="Calibri"/>
        </w:rPr>
        <w:t xml:space="preserve"> </w:t>
      </w:r>
      <w:r w:rsidRPr="0085443D">
        <w:rPr>
          <w:rFonts w:cs="Calibri"/>
        </w:rPr>
        <w:t>katastar</w:t>
      </w:r>
      <w:r w:rsidR="00A02EC1" w:rsidRPr="0085443D">
        <w:rPr>
          <w:rFonts w:cs="Calibri"/>
        </w:rPr>
        <w:t xml:space="preserve"> </w:t>
      </w:r>
      <w:r w:rsidRPr="0085443D">
        <w:rPr>
          <w:rFonts w:cs="Calibri"/>
        </w:rPr>
        <w:t>zagađivača</w:t>
      </w:r>
      <w:r w:rsidR="00A02EC1" w:rsidRPr="0085443D">
        <w:rPr>
          <w:rFonts w:cs="Calibri"/>
        </w:rPr>
        <w:t xml:space="preserve"> </w:t>
      </w:r>
      <w:r w:rsidRPr="0085443D">
        <w:rPr>
          <w:rFonts w:cs="Calibri"/>
        </w:rPr>
        <w:t>vazduha</w:t>
      </w:r>
      <w:r w:rsidR="00A02EC1" w:rsidRPr="0085443D">
        <w:rPr>
          <w:rFonts w:cs="Calibri"/>
        </w:rPr>
        <w:t xml:space="preserve"> </w:t>
      </w:r>
      <w:r w:rsidRPr="0085443D">
        <w:rPr>
          <w:rFonts w:cs="Calibri"/>
        </w:rPr>
        <w:t>na</w:t>
      </w:r>
      <w:r w:rsidR="00A02EC1" w:rsidRPr="0085443D">
        <w:rPr>
          <w:rFonts w:cs="Calibri"/>
        </w:rPr>
        <w:t xml:space="preserve"> </w:t>
      </w:r>
      <w:r w:rsidRPr="0085443D">
        <w:rPr>
          <w:rFonts w:cs="Calibri"/>
        </w:rPr>
        <w:t>teritoriji</w:t>
      </w:r>
      <w:r w:rsidR="00A02EC1" w:rsidRPr="0085443D">
        <w:rPr>
          <w:rFonts w:cs="Calibri"/>
        </w:rPr>
        <w:t xml:space="preserve"> </w:t>
      </w:r>
      <w:r w:rsidRPr="0085443D">
        <w:rPr>
          <w:rFonts w:cs="Calibri"/>
        </w:rPr>
        <w:t>opštine</w:t>
      </w:r>
      <w:r w:rsidR="00A02EC1" w:rsidRPr="0085443D">
        <w:rPr>
          <w:rFonts w:cs="Calibri"/>
        </w:rPr>
        <w:t xml:space="preserve">. </w:t>
      </w:r>
      <w:r w:rsidRPr="0085443D">
        <w:rPr>
          <w:rFonts w:cs="Calibri"/>
        </w:rPr>
        <w:t>Da</w:t>
      </w:r>
      <w:r w:rsidR="00A02EC1" w:rsidRPr="0085443D">
        <w:rPr>
          <w:rFonts w:cs="Calibri"/>
        </w:rPr>
        <w:t xml:space="preserve"> </w:t>
      </w:r>
      <w:r w:rsidRPr="0085443D">
        <w:rPr>
          <w:rFonts w:cs="Calibri"/>
        </w:rPr>
        <w:t>bi</w:t>
      </w:r>
      <w:r w:rsidR="00A02EC1" w:rsidRPr="0085443D">
        <w:rPr>
          <w:rFonts w:cs="Calibri"/>
        </w:rPr>
        <w:t xml:space="preserve"> </w:t>
      </w:r>
      <w:r w:rsidRPr="0085443D">
        <w:rPr>
          <w:rFonts w:cs="Calibri"/>
        </w:rPr>
        <w:t>se</w:t>
      </w:r>
      <w:r w:rsidR="00A02EC1" w:rsidRPr="0085443D">
        <w:rPr>
          <w:rFonts w:cs="Calibri"/>
        </w:rPr>
        <w:t xml:space="preserve"> </w:t>
      </w:r>
      <w:r w:rsidRPr="0085443D">
        <w:rPr>
          <w:rFonts w:cs="Calibri"/>
        </w:rPr>
        <w:t>proc</w:t>
      </w:r>
      <w:r w:rsidR="00066837">
        <w:rPr>
          <w:rFonts w:cs="Calibri"/>
        </w:rPr>
        <w:t>i</w:t>
      </w:r>
      <w:r w:rsidRPr="0085443D">
        <w:rPr>
          <w:rFonts w:cs="Calibri"/>
        </w:rPr>
        <w:t>jenio</w:t>
      </w:r>
      <w:r w:rsidR="00A02EC1" w:rsidRPr="0085443D">
        <w:rPr>
          <w:rFonts w:cs="Calibri"/>
        </w:rPr>
        <w:t xml:space="preserve"> </w:t>
      </w:r>
      <w:r w:rsidRPr="0085443D">
        <w:rPr>
          <w:rFonts w:cs="Calibri"/>
        </w:rPr>
        <w:t>rizik</w:t>
      </w:r>
      <w:r w:rsidR="00A02EC1" w:rsidRPr="0085443D">
        <w:rPr>
          <w:rFonts w:cs="Calibri"/>
        </w:rPr>
        <w:t xml:space="preserve"> </w:t>
      </w:r>
      <w:r w:rsidRPr="0085443D">
        <w:rPr>
          <w:rFonts w:cs="Calibri"/>
        </w:rPr>
        <w:t>za</w:t>
      </w:r>
      <w:r w:rsidR="00A02EC1" w:rsidRPr="0085443D">
        <w:rPr>
          <w:rFonts w:cs="Calibri"/>
        </w:rPr>
        <w:t xml:space="preserve"> </w:t>
      </w:r>
      <w:r w:rsidRPr="0085443D">
        <w:rPr>
          <w:rFonts w:cs="Calibri"/>
        </w:rPr>
        <w:t>zdravlje</w:t>
      </w:r>
      <w:r w:rsidR="00A02EC1" w:rsidRPr="0085443D">
        <w:rPr>
          <w:rFonts w:cs="Calibri"/>
        </w:rPr>
        <w:t xml:space="preserve"> </w:t>
      </w:r>
      <w:r w:rsidRPr="0085443D">
        <w:rPr>
          <w:rFonts w:cs="Calibri"/>
        </w:rPr>
        <w:t>stanovništva</w:t>
      </w:r>
      <w:r w:rsidR="00A02EC1" w:rsidRPr="0085443D">
        <w:rPr>
          <w:rFonts w:cs="Calibri"/>
        </w:rPr>
        <w:t xml:space="preserve"> </w:t>
      </w:r>
      <w:r w:rsidRPr="0085443D">
        <w:rPr>
          <w:rFonts w:cs="Calibri"/>
        </w:rPr>
        <w:t>usljed</w:t>
      </w:r>
      <w:r w:rsidR="00A02EC1" w:rsidRPr="0085443D">
        <w:rPr>
          <w:rFonts w:cs="Calibri"/>
        </w:rPr>
        <w:t xml:space="preserve"> </w:t>
      </w:r>
      <w:r w:rsidRPr="0085443D">
        <w:rPr>
          <w:rFonts w:cs="Calibri"/>
        </w:rPr>
        <w:t>zagađenja</w:t>
      </w:r>
      <w:r w:rsidR="00A02EC1" w:rsidRPr="0085443D">
        <w:rPr>
          <w:rFonts w:cs="Calibri"/>
        </w:rPr>
        <w:t xml:space="preserve"> </w:t>
      </w:r>
      <w:r w:rsidRPr="0085443D">
        <w:rPr>
          <w:rFonts w:cs="Calibri"/>
        </w:rPr>
        <w:t>vazduha</w:t>
      </w:r>
      <w:r w:rsidR="00A02EC1" w:rsidRPr="0085443D">
        <w:rPr>
          <w:rFonts w:cs="Calibri"/>
        </w:rPr>
        <w:t xml:space="preserve"> </w:t>
      </w:r>
      <w:r w:rsidRPr="0085443D">
        <w:rPr>
          <w:rFonts w:cs="Calibri"/>
        </w:rPr>
        <w:t>neophodna</w:t>
      </w:r>
      <w:r w:rsidR="00A02EC1" w:rsidRPr="0085443D">
        <w:rPr>
          <w:rFonts w:cs="Calibri"/>
        </w:rPr>
        <w:t xml:space="preserve"> </w:t>
      </w:r>
      <w:r w:rsidRPr="0085443D">
        <w:rPr>
          <w:rFonts w:cs="Calibri"/>
        </w:rPr>
        <w:t>je</w:t>
      </w:r>
      <w:r w:rsidR="00A02EC1" w:rsidRPr="0085443D">
        <w:rPr>
          <w:rFonts w:cs="Calibri"/>
        </w:rPr>
        <w:t xml:space="preserve"> </w:t>
      </w:r>
      <w:r w:rsidRPr="0085443D">
        <w:rPr>
          <w:rFonts w:cs="Calibri"/>
        </w:rPr>
        <w:t>izrada</w:t>
      </w:r>
      <w:r w:rsidR="00A02EC1" w:rsidRPr="0085443D">
        <w:rPr>
          <w:rFonts w:cs="Calibri"/>
        </w:rPr>
        <w:t xml:space="preserve"> </w:t>
      </w:r>
      <w:r w:rsidRPr="0085443D">
        <w:rPr>
          <w:rFonts w:cs="Calibri"/>
        </w:rPr>
        <w:t>studije</w:t>
      </w:r>
      <w:r w:rsidR="00A02EC1" w:rsidRPr="0085443D">
        <w:rPr>
          <w:rFonts w:cs="Calibri"/>
        </w:rPr>
        <w:t xml:space="preserve"> </w:t>
      </w:r>
      <w:r w:rsidRPr="0085443D">
        <w:rPr>
          <w:rFonts w:cs="Calibri"/>
        </w:rPr>
        <w:t>kako</w:t>
      </w:r>
      <w:r w:rsidR="00A02EC1" w:rsidRPr="0085443D">
        <w:rPr>
          <w:rFonts w:cs="Calibri"/>
        </w:rPr>
        <w:t xml:space="preserve"> </w:t>
      </w:r>
      <w:r w:rsidRPr="0085443D">
        <w:rPr>
          <w:rFonts w:cs="Calibri"/>
        </w:rPr>
        <w:t>bi</w:t>
      </w:r>
      <w:r w:rsidR="00A02EC1" w:rsidRPr="0085443D">
        <w:rPr>
          <w:rFonts w:cs="Calibri"/>
        </w:rPr>
        <w:t xml:space="preserve"> </w:t>
      </w:r>
      <w:r w:rsidRPr="0085443D">
        <w:rPr>
          <w:rFonts w:cs="Calibri"/>
        </w:rPr>
        <w:t>se</w:t>
      </w:r>
      <w:r w:rsidR="00A02EC1" w:rsidRPr="0085443D">
        <w:rPr>
          <w:rFonts w:cs="Calibri"/>
        </w:rPr>
        <w:t xml:space="preserve"> </w:t>
      </w:r>
      <w:r w:rsidRPr="0085443D">
        <w:rPr>
          <w:rFonts w:cs="Calibri"/>
        </w:rPr>
        <w:t>ustanovili</w:t>
      </w:r>
      <w:r w:rsidR="00A02EC1" w:rsidRPr="0085443D">
        <w:rPr>
          <w:rFonts w:cs="Calibri"/>
        </w:rPr>
        <w:t xml:space="preserve"> </w:t>
      </w:r>
      <w:r w:rsidRPr="0085443D">
        <w:rPr>
          <w:rFonts w:cs="Calibri"/>
        </w:rPr>
        <w:t>pokazatelji</w:t>
      </w:r>
      <w:r w:rsidR="00A02EC1" w:rsidRPr="0085443D">
        <w:rPr>
          <w:rFonts w:cs="Calibri"/>
        </w:rPr>
        <w:t xml:space="preserve"> </w:t>
      </w:r>
      <w:r w:rsidRPr="0085443D">
        <w:rPr>
          <w:rFonts w:cs="Calibri"/>
        </w:rPr>
        <w:t>ugroženosti</w:t>
      </w:r>
      <w:r w:rsidR="00A02EC1" w:rsidRPr="0085443D">
        <w:rPr>
          <w:rFonts w:cs="Calibri"/>
        </w:rPr>
        <w:t xml:space="preserve"> </w:t>
      </w:r>
      <w:r w:rsidRPr="0085443D">
        <w:rPr>
          <w:rFonts w:cs="Calibri"/>
        </w:rPr>
        <w:t>zdravlja</w:t>
      </w:r>
      <w:r w:rsidR="00A02EC1" w:rsidRPr="0085443D">
        <w:rPr>
          <w:rFonts w:cs="Calibri"/>
        </w:rPr>
        <w:t xml:space="preserve"> </w:t>
      </w:r>
      <w:r w:rsidRPr="0085443D">
        <w:rPr>
          <w:rFonts w:cs="Calibri"/>
        </w:rPr>
        <w:t>pojedinih</w:t>
      </w:r>
      <w:r w:rsidR="00A02EC1" w:rsidRPr="0085443D">
        <w:rPr>
          <w:rFonts w:cs="Calibri"/>
        </w:rPr>
        <w:t xml:space="preserve"> </w:t>
      </w:r>
      <w:r w:rsidRPr="0085443D">
        <w:rPr>
          <w:rFonts w:cs="Calibri"/>
        </w:rPr>
        <w:t>grupa</w:t>
      </w:r>
      <w:r w:rsidR="00A02EC1" w:rsidRPr="0085443D">
        <w:rPr>
          <w:rFonts w:cs="Calibri"/>
        </w:rPr>
        <w:t xml:space="preserve"> </w:t>
      </w:r>
      <w:r w:rsidRPr="0085443D">
        <w:rPr>
          <w:rFonts w:cs="Calibri"/>
        </w:rPr>
        <w:t>stanovnika</w:t>
      </w:r>
      <w:r w:rsidR="00A02EC1" w:rsidRPr="0085443D">
        <w:rPr>
          <w:rFonts w:cs="Calibri"/>
        </w:rPr>
        <w:t xml:space="preserve"> (</w:t>
      </w:r>
      <w:r w:rsidRPr="0085443D">
        <w:rPr>
          <w:rFonts w:cs="Calibri"/>
        </w:rPr>
        <w:t>djeca</w:t>
      </w:r>
      <w:r w:rsidR="00A02EC1" w:rsidRPr="0085443D">
        <w:rPr>
          <w:rFonts w:cs="Calibri"/>
        </w:rPr>
        <w:t xml:space="preserve">, </w:t>
      </w:r>
      <w:r w:rsidRPr="0085443D">
        <w:rPr>
          <w:rFonts w:cs="Calibri"/>
        </w:rPr>
        <w:t>hronični</w:t>
      </w:r>
      <w:r w:rsidR="00A02EC1" w:rsidRPr="0085443D">
        <w:rPr>
          <w:rFonts w:cs="Calibri"/>
        </w:rPr>
        <w:t xml:space="preserve"> </w:t>
      </w:r>
      <w:r w:rsidRPr="0085443D">
        <w:rPr>
          <w:rFonts w:cs="Calibri"/>
        </w:rPr>
        <w:t>bolesnici</w:t>
      </w:r>
      <w:r w:rsidR="00A02EC1" w:rsidRPr="0085443D">
        <w:rPr>
          <w:rFonts w:cs="Calibri"/>
        </w:rPr>
        <w:t>).</w:t>
      </w:r>
      <w:r w:rsidR="00B06DF9" w:rsidRPr="0085443D">
        <w:rPr>
          <w:rFonts w:cs="Calibri"/>
        </w:rPr>
        <w:t xml:space="preserve"> (</w:t>
      </w:r>
      <w:r w:rsidR="00A02EC1" w:rsidRPr="0085443D">
        <w:rPr>
          <w:rFonts w:cs="Calibri"/>
        </w:rPr>
        <w:t xml:space="preserve">Izvor: </w:t>
      </w:r>
      <w:r w:rsidRPr="0085443D">
        <w:rPr>
          <w:rFonts w:cs="Calibri"/>
        </w:rPr>
        <w:t>Lokalni</w:t>
      </w:r>
      <w:r w:rsidR="00A02EC1" w:rsidRPr="0085443D">
        <w:rPr>
          <w:rFonts w:cs="Calibri"/>
        </w:rPr>
        <w:t xml:space="preserve"> </w:t>
      </w:r>
      <w:r w:rsidRPr="0085443D">
        <w:rPr>
          <w:rFonts w:cs="Calibri"/>
        </w:rPr>
        <w:t>ekološki</w:t>
      </w:r>
      <w:r w:rsidR="00A02EC1" w:rsidRPr="0085443D">
        <w:rPr>
          <w:rFonts w:cs="Calibri"/>
        </w:rPr>
        <w:t xml:space="preserve"> </w:t>
      </w:r>
      <w:r w:rsidRPr="0085443D">
        <w:rPr>
          <w:rFonts w:cs="Calibri"/>
        </w:rPr>
        <w:t>akcioni</w:t>
      </w:r>
      <w:r w:rsidR="00A02EC1" w:rsidRPr="0085443D">
        <w:rPr>
          <w:rFonts w:cs="Calibri"/>
        </w:rPr>
        <w:t xml:space="preserve"> </w:t>
      </w:r>
      <w:r w:rsidRPr="0085443D">
        <w:rPr>
          <w:rFonts w:cs="Calibri"/>
        </w:rPr>
        <w:t>plan</w:t>
      </w:r>
      <w:r w:rsidR="00A02EC1" w:rsidRPr="0085443D">
        <w:rPr>
          <w:rFonts w:cs="Calibri"/>
        </w:rPr>
        <w:t xml:space="preserve"> </w:t>
      </w:r>
      <w:r w:rsidRPr="0085443D">
        <w:rPr>
          <w:rFonts w:cs="Calibri"/>
        </w:rPr>
        <w:t>opštine</w:t>
      </w:r>
      <w:r w:rsidR="00A02EC1" w:rsidRPr="0085443D">
        <w:rPr>
          <w:rFonts w:cs="Calibri"/>
        </w:rPr>
        <w:t xml:space="preserve"> </w:t>
      </w:r>
      <w:r w:rsidRPr="0085443D">
        <w:rPr>
          <w:rFonts w:cs="Calibri"/>
        </w:rPr>
        <w:t>Prnjavor</w:t>
      </w:r>
      <w:r w:rsidR="00A02EC1" w:rsidRPr="0085443D">
        <w:rPr>
          <w:rFonts w:cs="Calibri"/>
        </w:rPr>
        <w:t xml:space="preserve"> 2015 – 2020.  </w:t>
      </w:r>
      <w:r w:rsidRPr="0085443D">
        <w:rPr>
          <w:rFonts w:cs="Calibri"/>
        </w:rPr>
        <w:t>godine</w:t>
      </w:r>
      <w:r w:rsidR="00A02EC1" w:rsidRPr="0085443D">
        <w:rPr>
          <w:rFonts w:cs="Calibri"/>
        </w:rPr>
        <w:t>)</w:t>
      </w:r>
    </w:p>
    <w:p w14:paraId="16A99812" w14:textId="77777777" w:rsidR="0067007B" w:rsidRPr="0085443D" w:rsidRDefault="0067007B" w:rsidP="0067007B">
      <w:pPr>
        <w:spacing w:after="80"/>
        <w:rPr>
          <w:b/>
          <w:i/>
        </w:rPr>
      </w:pPr>
    </w:p>
    <w:p w14:paraId="033B9BB2" w14:textId="77777777" w:rsidR="0067007B" w:rsidRPr="0085443D" w:rsidRDefault="0067007B" w:rsidP="0067007B">
      <w:pPr>
        <w:spacing w:after="80"/>
        <w:rPr>
          <w:b/>
          <w:i/>
        </w:rPr>
      </w:pPr>
      <w:r w:rsidRPr="0085443D">
        <w:rPr>
          <w:b/>
          <w:i/>
        </w:rPr>
        <w:t>Stanje u pogledu vodnih resursa</w:t>
      </w:r>
    </w:p>
    <w:p w14:paraId="20D0B523" w14:textId="1214E131" w:rsidR="001B342E" w:rsidRPr="0085443D" w:rsidRDefault="007B3DED" w:rsidP="001B342E">
      <w:pPr>
        <w:widowControl w:val="0"/>
        <w:overflowPunct w:val="0"/>
        <w:autoSpaceDE w:val="0"/>
        <w:autoSpaceDN w:val="0"/>
        <w:adjustRightInd w:val="0"/>
        <w:jc w:val="both"/>
        <w:rPr>
          <w:rFonts w:cs="Calibri"/>
        </w:rPr>
      </w:pPr>
      <w:r w:rsidRPr="0085443D">
        <w:rPr>
          <w:rFonts w:cs="Calibri"/>
        </w:rPr>
        <w:t>Na</w:t>
      </w:r>
      <w:r w:rsidR="001B342E" w:rsidRPr="0085443D">
        <w:rPr>
          <w:rFonts w:cs="Calibri"/>
        </w:rPr>
        <w:t xml:space="preserve"> </w:t>
      </w:r>
      <w:r w:rsidRPr="0085443D">
        <w:rPr>
          <w:rFonts w:cs="Calibri"/>
        </w:rPr>
        <w:t>području</w:t>
      </w:r>
      <w:r w:rsidR="001B342E" w:rsidRPr="0085443D">
        <w:rPr>
          <w:rFonts w:cs="Calibri"/>
        </w:rPr>
        <w:t xml:space="preserve"> </w:t>
      </w:r>
      <w:r w:rsidRPr="0085443D">
        <w:rPr>
          <w:rFonts w:cs="Calibri"/>
        </w:rPr>
        <w:t>opštine</w:t>
      </w:r>
      <w:r w:rsidR="001B342E" w:rsidRPr="0085443D">
        <w:rPr>
          <w:rFonts w:cs="Calibri"/>
        </w:rPr>
        <w:t xml:space="preserve"> </w:t>
      </w:r>
      <w:r w:rsidRPr="0085443D">
        <w:rPr>
          <w:rFonts w:cs="Calibri"/>
        </w:rPr>
        <w:t>Prnjavor</w:t>
      </w:r>
      <w:r w:rsidR="001B342E" w:rsidRPr="0085443D">
        <w:rPr>
          <w:rFonts w:cs="Calibri"/>
        </w:rPr>
        <w:t xml:space="preserve"> </w:t>
      </w:r>
      <w:r w:rsidR="002826B9">
        <w:rPr>
          <w:rFonts w:cs="Calibri"/>
        </w:rPr>
        <w:t xml:space="preserve">značajni su </w:t>
      </w:r>
      <w:r w:rsidRPr="0085443D">
        <w:rPr>
          <w:rFonts w:cs="Calibri"/>
        </w:rPr>
        <w:t>sljedeći</w:t>
      </w:r>
      <w:r w:rsidR="001B342E" w:rsidRPr="0085443D">
        <w:rPr>
          <w:rFonts w:cs="Calibri"/>
        </w:rPr>
        <w:t xml:space="preserve"> </w:t>
      </w:r>
      <w:r w:rsidRPr="0085443D">
        <w:rPr>
          <w:rFonts w:cs="Calibri"/>
        </w:rPr>
        <w:t>vodni</w:t>
      </w:r>
      <w:r w:rsidR="001B342E" w:rsidRPr="0085443D">
        <w:rPr>
          <w:rFonts w:cs="Calibri"/>
        </w:rPr>
        <w:t xml:space="preserve"> </w:t>
      </w:r>
      <w:r w:rsidRPr="0085443D">
        <w:rPr>
          <w:rFonts w:cs="Calibri"/>
        </w:rPr>
        <w:t>resursi</w:t>
      </w:r>
      <w:r w:rsidR="001B342E" w:rsidRPr="0085443D">
        <w:rPr>
          <w:rFonts w:cs="Calibri"/>
        </w:rPr>
        <w:t xml:space="preserve">: </w:t>
      </w:r>
      <w:r w:rsidRPr="0085443D">
        <w:rPr>
          <w:rFonts w:cs="Calibri"/>
        </w:rPr>
        <w:t>rijeka</w:t>
      </w:r>
      <w:r w:rsidR="001B342E" w:rsidRPr="0085443D">
        <w:rPr>
          <w:rFonts w:cs="Calibri"/>
        </w:rPr>
        <w:t xml:space="preserve"> </w:t>
      </w:r>
      <w:r w:rsidRPr="0085443D">
        <w:rPr>
          <w:rFonts w:cs="Calibri"/>
        </w:rPr>
        <w:t>Ukrina</w:t>
      </w:r>
      <w:r w:rsidR="001B342E" w:rsidRPr="0085443D">
        <w:rPr>
          <w:rFonts w:cs="Calibri"/>
        </w:rPr>
        <w:t xml:space="preserve"> </w:t>
      </w:r>
      <w:r w:rsidRPr="0085443D">
        <w:rPr>
          <w:rFonts w:cs="Calibri"/>
        </w:rPr>
        <w:t>sa</w:t>
      </w:r>
      <w:r w:rsidR="001B342E" w:rsidRPr="0085443D">
        <w:rPr>
          <w:rFonts w:cs="Calibri"/>
        </w:rPr>
        <w:t xml:space="preserve"> </w:t>
      </w:r>
      <w:r w:rsidRPr="0085443D">
        <w:rPr>
          <w:rFonts w:cs="Calibri"/>
        </w:rPr>
        <w:t>Velikom</w:t>
      </w:r>
      <w:r w:rsidR="001B342E" w:rsidRPr="0085443D">
        <w:rPr>
          <w:rFonts w:cs="Calibri"/>
        </w:rPr>
        <w:t xml:space="preserve"> </w:t>
      </w:r>
      <w:r w:rsidRPr="0085443D">
        <w:rPr>
          <w:rFonts w:cs="Calibri"/>
        </w:rPr>
        <w:t>i</w:t>
      </w:r>
      <w:r w:rsidR="001B342E" w:rsidRPr="0085443D">
        <w:rPr>
          <w:rFonts w:cs="Calibri"/>
        </w:rPr>
        <w:t xml:space="preserve"> </w:t>
      </w:r>
      <w:r w:rsidRPr="0085443D">
        <w:rPr>
          <w:rFonts w:cs="Calibri"/>
        </w:rPr>
        <w:t>Malom</w:t>
      </w:r>
      <w:r w:rsidR="001B342E" w:rsidRPr="0085443D">
        <w:rPr>
          <w:rFonts w:cs="Calibri"/>
        </w:rPr>
        <w:t xml:space="preserve"> </w:t>
      </w:r>
      <w:r w:rsidRPr="0085443D">
        <w:rPr>
          <w:rFonts w:cs="Calibri"/>
        </w:rPr>
        <w:t>Ukrinom</w:t>
      </w:r>
      <w:r w:rsidR="001B342E" w:rsidRPr="0085443D">
        <w:rPr>
          <w:rFonts w:cs="Calibri"/>
        </w:rPr>
        <w:t xml:space="preserve">, </w:t>
      </w:r>
      <w:r w:rsidRPr="0085443D">
        <w:rPr>
          <w:rFonts w:cs="Calibri"/>
        </w:rPr>
        <w:t>Vijaka</w:t>
      </w:r>
      <w:r w:rsidR="001B342E" w:rsidRPr="0085443D">
        <w:rPr>
          <w:rFonts w:cs="Calibri"/>
        </w:rPr>
        <w:t xml:space="preserve"> </w:t>
      </w:r>
      <w:r w:rsidRPr="0085443D">
        <w:rPr>
          <w:rFonts w:cs="Calibri"/>
        </w:rPr>
        <w:t>sa</w:t>
      </w:r>
      <w:r w:rsidR="001B342E" w:rsidRPr="0085443D">
        <w:rPr>
          <w:rFonts w:cs="Calibri"/>
        </w:rPr>
        <w:t xml:space="preserve"> </w:t>
      </w:r>
      <w:r w:rsidRPr="0085443D">
        <w:rPr>
          <w:rFonts w:cs="Calibri"/>
        </w:rPr>
        <w:t>svojim</w:t>
      </w:r>
      <w:r w:rsidR="001B342E" w:rsidRPr="0085443D">
        <w:rPr>
          <w:rFonts w:cs="Calibri"/>
        </w:rPr>
        <w:t xml:space="preserve"> </w:t>
      </w:r>
      <w:r w:rsidRPr="0085443D">
        <w:rPr>
          <w:rFonts w:cs="Calibri"/>
        </w:rPr>
        <w:t>pritokama</w:t>
      </w:r>
      <w:r w:rsidR="001B342E" w:rsidRPr="0085443D">
        <w:rPr>
          <w:rFonts w:cs="Calibri"/>
        </w:rPr>
        <w:t xml:space="preserve"> </w:t>
      </w:r>
      <w:r w:rsidRPr="0085443D">
        <w:rPr>
          <w:rFonts w:cs="Calibri"/>
        </w:rPr>
        <w:t>Lišnja</w:t>
      </w:r>
      <w:r w:rsidR="001B342E" w:rsidRPr="0085443D">
        <w:rPr>
          <w:rFonts w:cs="Calibri"/>
        </w:rPr>
        <w:t xml:space="preserve"> </w:t>
      </w:r>
      <w:r w:rsidRPr="0085443D">
        <w:rPr>
          <w:rFonts w:cs="Calibri"/>
        </w:rPr>
        <w:t>i</w:t>
      </w:r>
      <w:r w:rsidR="001B342E" w:rsidRPr="0085443D">
        <w:rPr>
          <w:rFonts w:cs="Calibri"/>
        </w:rPr>
        <w:t xml:space="preserve"> </w:t>
      </w:r>
      <w:r w:rsidRPr="0085443D">
        <w:rPr>
          <w:rFonts w:cs="Calibri"/>
        </w:rPr>
        <w:t>Ilova</w:t>
      </w:r>
      <w:r w:rsidR="001B342E" w:rsidRPr="0085443D">
        <w:rPr>
          <w:rFonts w:cs="Calibri"/>
        </w:rPr>
        <w:t xml:space="preserve">, </w:t>
      </w:r>
      <w:r w:rsidRPr="0085443D">
        <w:rPr>
          <w:rFonts w:cs="Calibri"/>
        </w:rPr>
        <w:t>Jadovica</w:t>
      </w:r>
      <w:r w:rsidR="001B342E" w:rsidRPr="0085443D">
        <w:rPr>
          <w:rFonts w:cs="Calibri"/>
        </w:rPr>
        <w:t xml:space="preserve">, </w:t>
      </w:r>
      <w:r w:rsidRPr="0085443D">
        <w:rPr>
          <w:rFonts w:cs="Calibri"/>
        </w:rPr>
        <w:t>Kremnica</w:t>
      </w:r>
      <w:r w:rsidR="001B342E" w:rsidRPr="0085443D">
        <w:rPr>
          <w:rFonts w:cs="Calibri"/>
        </w:rPr>
        <w:t xml:space="preserve"> </w:t>
      </w:r>
      <w:r w:rsidRPr="0085443D">
        <w:rPr>
          <w:rFonts w:cs="Calibri"/>
        </w:rPr>
        <w:t>i</w:t>
      </w:r>
      <w:r w:rsidR="001B342E" w:rsidRPr="0085443D">
        <w:rPr>
          <w:rFonts w:cs="Calibri"/>
        </w:rPr>
        <w:t xml:space="preserve"> </w:t>
      </w:r>
      <w:r w:rsidRPr="0085443D">
        <w:rPr>
          <w:rFonts w:cs="Calibri"/>
        </w:rPr>
        <w:t>Turjanica</w:t>
      </w:r>
      <w:r w:rsidR="001B342E" w:rsidRPr="0085443D">
        <w:rPr>
          <w:rFonts w:cs="Calibri"/>
        </w:rPr>
        <w:t xml:space="preserve">. </w:t>
      </w:r>
      <w:r w:rsidRPr="0085443D">
        <w:rPr>
          <w:rFonts w:cs="Calibri"/>
        </w:rPr>
        <w:t>Rijeka</w:t>
      </w:r>
      <w:r w:rsidR="001B342E" w:rsidRPr="0085443D">
        <w:rPr>
          <w:rFonts w:cs="Calibri"/>
        </w:rPr>
        <w:t xml:space="preserve"> </w:t>
      </w:r>
      <w:r w:rsidRPr="0085443D">
        <w:rPr>
          <w:rFonts w:cs="Calibri"/>
        </w:rPr>
        <w:t>Ukrina</w:t>
      </w:r>
      <w:r w:rsidR="001B342E" w:rsidRPr="0085443D">
        <w:rPr>
          <w:rFonts w:cs="Calibri"/>
        </w:rPr>
        <w:t xml:space="preserve"> </w:t>
      </w:r>
      <w:r w:rsidR="0067007B" w:rsidRPr="0085443D">
        <w:rPr>
          <w:rFonts w:cs="Calibri"/>
        </w:rPr>
        <w:t>p</w:t>
      </w:r>
      <w:r w:rsidRPr="0085443D">
        <w:rPr>
          <w:rFonts w:cs="Calibri"/>
        </w:rPr>
        <w:t>redstavlja</w:t>
      </w:r>
      <w:r w:rsidR="001B342E" w:rsidRPr="0085443D">
        <w:rPr>
          <w:rFonts w:cs="Calibri"/>
        </w:rPr>
        <w:t xml:space="preserve"> </w:t>
      </w:r>
      <w:r w:rsidRPr="0085443D">
        <w:rPr>
          <w:rFonts w:cs="Calibri"/>
        </w:rPr>
        <w:t>najznačajniji</w:t>
      </w:r>
      <w:r w:rsidR="001B342E" w:rsidRPr="0085443D">
        <w:rPr>
          <w:rFonts w:cs="Calibri"/>
        </w:rPr>
        <w:t xml:space="preserve"> </w:t>
      </w:r>
      <w:r w:rsidRPr="0085443D">
        <w:rPr>
          <w:rFonts w:cs="Calibri"/>
        </w:rPr>
        <w:t>vodni</w:t>
      </w:r>
      <w:r w:rsidR="001B342E" w:rsidRPr="0085443D">
        <w:rPr>
          <w:rFonts w:cs="Calibri"/>
        </w:rPr>
        <w:t xml:space="preserve"> </w:t>
      </w:r>
      <w:r w:rsidRPr="0085443D">
        <w:rPr>
          <w:rFonts w:cs="Calibri"/>
        </w:rPr>
        <w:t>resurs</w:t>
      </w:r>
      <w:r w:rsidR="001B342E" w:rsidRPr="0085443D">
        <w:rPr>
          <w:rFonts w:cs="Calibri"/>
        </w:rPr>
        <w:t xml:space="preserve"> </w:t>
      </w:r>
      <w:r w:rsidRPr="0085443D">
        <w:rPr>
          <w:rFonts w:cs="Calibri"/>
        </w:rPr>
        <w:t>na</w:t>
      </w:r>
      <w:r w:rsidR="001B342E" w:rsidRPr="0085443D">
        <w:rPr>
          <w:rFonts w:cs="Calibri"/>
        </w:rPr>
        <w:t xml:space="preserve"> </w:t>
      </w:r>
      <w:r w:rsidRPr="0085443D">
        <w:rPr>
          <w:rFonts w:cs="Calibri"/>
        </w:rPr>
        <w:t>području</w:t>
      </w:r>
      <w:r w:rsidR="001B342E" w:rsidRPr="0085443D">
        <w:rPr>
          <w:rFonts w:cs="Calibri"/>
        </w:rPr>
        <w:t xml:space="preserve"> </w:t>
      </w:r>
      <w:r w:rsidRPr="0085443D">
        <w:rPr>
          <w:rFonts w:cs="Calibri"/>
        </w:rPr>
        <w:t>opštine</w:t>
      </w:r>
      <w:r w:rsidR="001B342E" w:rsidRPr="0085443D">
        <w:rPr>
          <w:rFonts w:cs="Calibri"/>
        </w:rPr>
        <w:t xml:space="preserve"> </w:t>
      </w:r>
      <w:r w:rsidRPr="0085443D">
        <w:rPr>
          <w:rFonts w:cs="Calibri"/>
        </w:rPr>
        <w:t>Prnjavor</w:t>
      </w:r>
      <w:r w:rsidR="001B342E" w:rsidRPr="0085443D">
        <w:rPr>
          <w:rFonts w:cs="Calibri"/>
        </w:rPr>
        <w:t xml:space="preserve">. </w:t>
      </w:r>
      <w:r w:rsidRPr="0085443D">
        <w:rPr>
          <w:rFonts w:cs="Calibri"/>
        </w:rPr>
        <w:t>Međutim</w:t>
      </w:r>
      <w:r w:rsidR="001B342E" w:rsidRPr="0085443D">
        <w:rPr>
          <w:rFonts w:cs="Calibri"/>
        </w:rPr>
        <w:t xml:space="preserve">, </w:t>
      </w:r>
      <w:r w:rsidRPr="0085443D">
        <w:rPr>
          <w:rFonts w:cs="Calibri"/>
        </w:rPr>
        <w:t>rijeka</w:t>
      </w:r>
      <w:r w:rsidR="001B342E" w:rsidRPr="0085443D">
        <w:rPr>
          <w:rFonts w:cs="Calibri"/>
        </w:rPr>
        <w:t xml:space="preserve"> </w:t>
      </w:r>
      <w:r w:rsidRPr="0085443D">
        <w:rPr>
          <w:rFonts w:cs="Calibri"/>
        </w:rPr>
        <w:t>Ukrina</w:t>
      </w:r>
      <w:r w:rsidR="001B342E" w:rsidRPr="0085443D">
        <w:rPr>
          <w:rFonts w:cs="Calibri"/>
        </w:rPr>
        <w:t xml:space="preserve"> </w:t>
      </w:r>
      <w:r w:rsidRPr="0085443D">
        <w:rPr>
          <w:rFonts w:cs="Calibri"/>
        </w:rPr>
        <w:t>i</w:t>
      </w:r>
      <w:r w:rsidR="001B342E" w:rsidRPr="0085443D">
        <w:rPr>
          <w:rFonts w:cs="Calibri"/>
        </w:rPr>
        <w:t xml:space="preserve"> </w:t>
      </w:r>
      <w:r w:rsidRPr="0085443D">
        <w:rPr>
          <w:rFonts w:cs="Calibri"/>
        </w:rPr>
        <w:t>njene</w:t>
      </w:r>
      <w:r w:rsidR="001B342E" w:rsidRPr="0085443D">
        <w:rPr>
          <w:rFonts w:cs="Calibri"/>
        </w:rPr>
        <w:t xml:space="preserve"> </w:t>
      </w:r>
      <w:r w:rsidRPr="0085443D">
        <w:rPr>
          <w:rFonts w:cs="Calibri"/>
        </w:rPr>
        <w:t>pritoke</w:t>
      </w:r>
      <w:r w:rsidR="001B342E" w:rsidRPr="0085443D">
        <w:rPr>
          <w:rFonts w:cs="Calibri"/>
        </w:rPr>
        <w:t xml:space="preserve"> </w:t>
      </w:r>
      <w:r w:rsidRPr="0085443D">
        <w:rPr>
          <w:rFonts w:cs="Calibri"/>
        </w:rPr>
        <w:t>su</w:t>
      </w:r>
      <w:r w:rsidR="001B342E" w:rsidRPr="0085443D">
        <w:rPr>
          <w:rFonts w:cs="Calibri"/>
        </w:rPr>
        <w:t xml:space="preserve"> </w:t>
      </w:r>
      <w:r w:rsidRPr="0085443D">
        <w:rPr>
          <w:rFonts w:cs="Calibri"/>
        </w:rPr>
        <w:t>izuzetno</w:t>
      </w:r>
      <w:r w:rsidR="001B342E" w:rsidRPr="0085443D">
        <w:rPr>
          <w:rFonts w:cs="Calibri"/>
        </w:rPr>
        <w:t xml:space="preserve"> </w:t>
      </w:r>
      <w:r w:rsidRPr="0085443D">
        <w:rPr>
          <w:rFonts w:cs="Calibri"/>
        </w:rPr>
        <w:t>ugrožene</w:t>
      </w:r>
      <w:r w:rsidR="001B342E" w:rsidRPr="0085443D">
        <w:rPr>
          <w:rFonts w:cs="Calibri"/>
        </w:rPr>
        <w:t xml:space="preserve"> </w:t>
      </w:r>
      <w:r w:rsidRPr="0085443D">
        <w:rPr>
          <w:rFonts w:cs="Calibri"/>
        </w:rPr>
        <w:t>ispuštanjem</w:t>
      </w:r>
      <w:r w:rsidR="001B342E" w:rsidRPr="0085443D">
        <w:rPr>
          <w:rFonts w:cs="Calibri"/>
        </w:rPr>
        <w:t xml:space="preserve"> </w:t>
      </w:r>
      <w:r w:rsidRPr="0085443D">
        <w:rPr>
          <w:rFonts w:cs="Calibri"/>
        </w:rPr>
        <w:t>otpadnih</w:t>
      </w:r>
      <w:r w:rsidR="001B342E" w:rsidRPr="0085443D">
        <w:rPr>
          <w:rFonts w:cs="Calibri"/>
        </w:rPr>
        <w:t xml:space="preserve"> </w:t>
      </w:r>
      <w:r w:rsidRPr="0085443D">
        <w:rPr>
          <w:rFonts w:cs="Calibri"/>
        </w:rPr>
        <w:t>voda</w:t>
      </w:r>
      <w:r w:rsidR="001B342E" w:rsidRPr="0085443D">
        <w:rPr>
          <w:rFonts w:cs="Calibri"/>
        </w:rPr>
        <w:t xml:space="preserve">, </w:t>
      </w:r>
      <w:r w:rsidRPr="0085443D">
        <w:rPr>
          <w:rFonts w:cs="Calibri"/>
        </w:rPr>
        <w:t>spiranjem</w:t>
      </w:r>
      <w:r w:rsidR="001B342E" w:rsidRPr="0085443D">
        <w:rPr>
          <w:rFonts w:cs="Calibri"/>
        </w:rPr>
        <w:t xml:space="preserve"> </w:t>
      </w:r>
      <w:r w:rsidRPr="0085443D">
        <w:rPr>
          <w:rFonts w:cs="Calibri"/>
        </w:rPr>
        <w:t>štetnih</w:t>
      </w:r>
      <w:r w:rsidR="001B342E" w:rsidRPr="0085443D">
        <w:rPr>
          <w:rFonts w:cs="Calibri"/>
        </w:rPr>
        <w:t xml:space="preserve"> </w:t>
      </w:r>
      <w:r w:rsidRPr="0085443D">
        <w:rPr>
          <w:rFonts w:cs="Calibri"/>
        </w:rPr>
        <w:t>materija</w:t>
      </w:r>
      <w:r w:rsidR="001B342E" w:rsidRPr="0085443D">
        <w:rPr>
          <w:rFonts w:cs="Calibri"/>
        </w:rPr>
        <w:t xml:space="preserve"> </w:t>
      </w:r>
      <w:r w:rsidRPr="0085443D">
        <w:rPr>
          <w:rFonts w:cs="Calibri"/>
        </w:rPr>
        <w:t>sa</w:t>
      </w:r>
      <w:r w:rsidR="001B342E" w:rsidRPr="0085443D">
        <w:rPr>
          <w:rFonts w:cs="Calibri"/>
        </w:rPr>
        <w:t xml:space="preserve"> </w:t>
      </w:r>
      <w:r w:rsidRPr="0085443D">
        <w:rPr>
          <w:rFonts w:cs="Calibri"/>
        </w:rPr>
        <w:t>poljoprivrednih</w:t>
      </w:r>
      <w:r w:rsidR="001B342E" w:rsidRPr="0085443D">
        <w:rPr>
          <w:rFonts w:cs="Calibri"/>
        </w:rPr>
        <w:t xml:space="preserve"> </w:t>
      </w:r>
      <w:r w:rsidRPr="0085443D">
        <w:rPr>
          <w:rFonts w:cs="Calibri"/>
        </w:rPr>
        <w:t>površina</w:t>
      </w:r>
      <w:r w:rsidR="001B342E" w:rsidRPr="0085443D">
        <w:rPr>
          <w:rFonts w:cs="Calibri"/>
        </w:rPr>
        <w:t xml:space="preserve">, </w:t>
      </w:r>
      <w:r w:rsidRPr="0085443D">
        <w:rPr>
          <w:rFonts w:cs="Calibri"/>
        </w:rPr>
        <w:t>odlaganjem</w:t>
      </w:r>
      <w:r w:rsidR="001B342E" w:rsidRPr="0085443D">
        <w:rPr>
          <w:rFonts w:cs="Calibri"/>
        </w:rPr>
        <w:t xml:space="preserve"> </w:t>
      </w:r>
      <w:r w:rsidRPr="0085443D">
        <w:rPr>
          <w:rFonts w:cs="Calibri"/>
        </w:rPr>
        <w:t>otpada</w:t>
      </w:r>
      <w:r w:rsidR="001B342E" w:rsidRPr="0085443D">
        <w:rPr>
          <w:rFonts w:cs="Calibri"/>
        </w:rPr>
        <w:t xml:space="preserve"> </w:t>
      </w:r>
      <w:r w:rsidRPr="0085443D">
        <w:rPr>
          <w:rFonts w:cs="Calibri"/>
        </w:rPr>
        <w:t>u</w:t>
      </w:r>
      <w:r w:rsidR="001B342E" w:rsidRPr="0085443D">
        <w:rPr>
          <w:rFonts w:cs="Calibri"/>
        </w:rPr>
        <w:t xml:space="preserve"> </w:t>
      </w:r>
      <w:r w:rsidRPr="0085443D">
        <w:rPr>
          <w:rFonts w:cs="Calibri"/>
        </w:rPr>
        <w:t>rijeku</w:t>
      </w:r>
      <w:r w:rsidR="001B342E" w:rsidRPr="0085443D">
        <w:rPr>
          <w:rFonts w:cs="Calibri"/>
        </w:rPr>
        <w:t xml:space="preserve"> </w:t>
      </w:r>
      <w:r w:rsidRPr="0085443D">
        <w:rPr>
          <w:rFonts w:cs="Calibri"/>
        </w:rPr>
        <w:t>itd</w:t>
      </w:r>
      <w:r w:rsidR="001B342E" w:rsidRPr="0085443D">
        <w:rPr>
          <w:rFonts w:cs="Calibri"/>
        </w:rPr>
        <w:t xml:space="preserve">. Lišnja </w:t>
      </w:r>
      <w:r w:rsidRPr="0085443D">
        <w:rPr>
          <w:rFonts w:cs="Calibri"/>
        </w:rPr>
        <w:t>je</w:t>
      </w:r>
      <w:r w:rsidR="001B342E" w:rsidRPr="0085443D">
        <w:rPr>
          <w:rFonts w:cs="Calibri"/>
        </w:rPr>
        <w:t xml:space="preserve"> </w:t>
      </w:r>
      <w:r w:rsidRPr="0085443D">
        <w:rPr>
          <w:rFonts w:cs="Calibri"/>
        </w:rPr>
        <w:t>ugrožena</w:t>
      </w:r>
      <w:r w:rsidR="001B342E" w:rsidRPr="0085443D">
        <w:rPr>
          <w:rFonts w:cs="Calibri"/>
        </w:rPr>
        <w:t xml:space="preserve"> </w:t>
      </w:r>
      <w:r w:rsidRPr="0085443D">
        <w:rPr>
          <w:rFonts w:cs="Calibri"/>
        </w:rPr>
        <w:t>izgradnjom</w:t>
      </w:r>
      <w:r w:rsidR="001B342E" w:rsidRPr="0085443D">
        <w:rPr>
          <w:rFonts w:cs="Calibri"/>
        </w:rPr>
        <w:t xml:space="preserve"> </w:t>
      </w:r>
      <w:r w:rsidRPr="0085443D">
        <w:rPr>
          <w:rFonts w:cs="Calibri"/>
        </w:rPr>
        <w:t>auto</w:t>
      </w:r>
      <w:r w:rsidR="006B7CE0" w:rsidRPr="0085443D">
        <w:rPr>
          <w:rFonts w:cs="Calibri"/>
        </w:rPr>
        <w:t>-</w:t>
      </w:r>
      <w:r w:rsidRPr="0085443D">
        <w:rPr>
          <w:rFonts w:cs="Calibri"/>
        </w:rPr>
        <w:t>puta</w:t>
      </w:r>
      <w:r w:rsidR="001B342E" w:rsidRPr="0085443D">
        <w:rPr>
          <w:rFonts w:cs="Calibri"/>
        </w:rPr>
        <w:t xml:space="preserve"> </w:t>
      </w:r>
      <w:r w:rsidRPr="0085443D">
        <w:rPr>
          <w:rFonts w:cs="Calibri"/>
        </w:rPr>
        <w:t>Banja</w:t>
      </w:r>
      <w:r w:rsidR="001B342E" w:rsidRPr="0085443D">
        <w:rPr>
          <w:rFonts w:cs="Calibri"/>
        </w:rPr>
        <w:t xml:space="preserve"> </w:t>
      </w:r>
      <w:r w:rsidRPr="0085443D">
        <w:rPr>
          <w:rFonts w:cs="Calibri"/>
        </w:rPr>
        <w:t>Luka</w:t>
      </w:r>
      <w:r w:rsidR="001B342E" w:rsidRPr="0085443D">
        <w:rPr>
          <w:rFonts w:cs="Calibri"/>
        </w:rPr>
        <w:t>-</w:t>
      </w:r>
      <w:r w:rsidRPr="0085443D">
        <w:rPr>
          <w:rFonts w:cs="Calibri"/>
        </w:rPr>
        <w:t>Doboj</w:t>
      </w:r>
      <w:r w:rsidR="001B342E" w:rsidRPr="0085443D">
        <w:rPr>
          <w:rFonts w:cs="Calibri"/>
        </w:rPr>
        <w:t xml:space="preserve"> </w:t>
      </w:r>
      <w:r w:rsidRPr="0085443D">
        <w:rPr>
          <w:rFonts w:cs="Calibri"/>
        </w:rPr>
        <w:t>na</w:t>
      </w:r>
      <w:r w:rsidR="001B342E" w:rsidRPr="0085443D">
        <w:rPr>
          <w:rFonts w:cs="Calibri"/>
        </w:rPr>
        <w:t xml:space="preserve"> </w:t>
      </w:r>
      <w:r w:rsidRPr="0085443D">
        <w:rPr>
          <w:rFonts w:cs="Calibri"/>
        </w:rPr>
        <w:t>području</w:t>
      </w:r>
      <w:r w:rsidR="001B342E" w:rsidRPr="0085443D">
        <w:rPr>
          <w:rFonts w:cs="Calibri"/>
        </w:rPr>
        <w:t xml:space="preserve"> </w:t>
      </w:r>
      <w:r w:rsidRPr="0085443D">
        <w:rPr>
          <w:rFonts w:cs="Calibri"/>
        </w:rPr>
        <w:t>opštine</w:t>
      </w:r>
      <w:r w:rsidR="001B342E" w:rsidRPr="0085443D">
        <w:rPr>
          <w:rFonts w:cs="Calibri"/>
        </w:rPr>
        <w:t xml:space="preserve"> </w:t>
      </w:r>
      <w:r w:rsidRPr="0085443D">
        <w:rPr>
          <w:rFonts w:cs="Calibri"/>
        </w:rPr>
        <w:t>Prnjavor</w:t>
      </w:r>
      <w:r w:rsidR="001B342E" w:rsidRPr="0085443D">
        <w:rPr>
          <w:rFonts w:cs="Calibri"/>
        </w:rPr>
        <w:t>. Z</w:t>
      </w:r>
      <w:r w:rsidRPr="0085443D">
        <w:rPr>
          <w:rFonts w:cs="Calibri"/>
        </w:rPr>
        <w:t>načaj</w:t>
      </w:r>
      <w:r w:rsidR="001B342E" w:rsidRPr="0085443D">
        <w:rPr>
          <w:rFonts w:cs="Calibri"/>
        </w:rPr>
        <w:t xml:space="preserve"> Vijake </w:t>
      </w:r>
      <w:r w:rsidRPr="0085443D">
        <w:rPr>
          <w:rFonts w:cs="Calibri"/>
        </w:rPr>
        <w:t>se</w:t>
      </w:r>
      <w:r w:rsidR="001B342E" w:rsidRPr="0085443D">
        <w:rPr>
          <w:rFonts w:cs="Calibri"/>
        </w:rPr>
        <w:t xml:space="preserve"> </w:t>
      </w:r>
      <w:r w:rsidRPr="0085443D">
        <w:rPr>
          <w:rFonts w:cs="Calibri"/>
        </w:rPr>
        <w:t>ogleda</w:t>
      </w:r>
      <w:r w:rsidR="001B342E" w:rsidRPr="0085443D">
        <w:rPr>
          <w:rFonts w:cs="Calibri"/>
        </w:rPr>
        <w:t xml:space="preserve"> </w:t>
      </w:r>
      <w:r w:rsidRPr="0085443D">
        <w:rPr>
          <w:rFonts w:cs="Calibri"/>
        </w:rPr>
        <w:t>sa</w:t>
      </w:r>
      <w:r w:rsidR="001B342E" w:rsidRPr="0085443D">
        <w:rPr>
          <w:rFonts w:cs="Calibri"/>
        </w:rPr>
        <w:t xml:space="preserve"> </w:t>
      </w:r>
      <w:r w:rsidRPr="0085443D">
        <w:rPr>
          <w:rFonts w:cs="Calibri"/>
        </w:rPr>
        <w:t>aspekta</w:t>
      </w:r>
      <w:r w:rsidR="001B342E" w:rsidRPr="0085443D">
        <w:rPr>
          <w:rFonts w:cs="Calibri"/>
        </w:rPr>
        <w:t xml:space="preserve"> </w:t>
      </w:r>
      <w:r w:rsidRPr="0085443D">
        <w:rPr>
          <w:rFonts w:cs="Calibri"/>
        </w:rPr>
        <w:t>vodosnabdijevanja</w:t>
      </w:r>
      <w:r w:rsidR="001B342E" w:rsidRPr="0085443D">
        <w:rPr>
          <w:rFonts w:cs="Calibri"/>
        </w:rPr>
        <w:t xml:space="preserve">, </w:t>
      </w:r>
      <w:r w:rsidRPr="0085443D">
        <w:rPr>
          <w:rFonts w:cs="Calibri"/>
        </w:rPr>
        <w:t>jer</w:t>
      </w:r>
      <w:r w:rsidR="001B342E" w:rsidRPr="0085443D">
        <w:rPr>
          <w:rFonts w:cs="Calibri"/>
        </w:rPr>
        <w:t xml:space="preserve"> </w:t>
      </w:r>
      <w:r w:rsidRPr="0085443D">
        <w:rPr>
          <w:rFonts w:cs="Calibri"/>
        </w:rPr>
        <w:t>sa</w:t>
      </w:r>
      <w:r w:rsidR="001B342E" w:rsidRPr="0085443D">
        <w:rPr>
          <w:rFonts w:cs="Calibri"/>
        </w:rPr>
        <w:t xml:space="preserve"> </w:t>
      </w:r>
      <w:r w:rsidRPr="0085443D">
        <w:rPr>
          <w:rFonts w:cs="Calibri"/>
        </w:rPr>
        <w:t>akumulacijom</w:t>
      </w:r>
      <w:r w:rsidR="001B342E" w:rsidRPr="0085443D">
        <w:rPr>
          <w:rFonts w:cs="Calibri"/>
        </w:rPr>
        <w:t xml:space="preserve"> </w:t>
      </w:r>
      <w:r w:rsidRPr="0085443D">
        <w:rPr>
          <w:rFonts w:cs="Calibri"/>
        </w:rPr>
        <w:t>Drenova</w:t>
      </w:r>
      <w:r w:rsidR="001B342E" w:rsidRPr="0085443D">
        <w:rPr>
          <w:rFonts w:cs="Calibri"/>
        </w:rPr>
        <w:t xml:space="preserve"> </w:t>
      </w:r>
      <w:r w:rsidRPr="0085443D">
        <w:rPr>
          <w:rFonts w:cs="Calibri"/>
        </w:rPr>
        <w:t>čini</w:t>
      </w:r>
      <w:r w:rsidR="001B342E" w:rsidRPr="0085443D">
        <w:rPr>
          <w:rFonts w:cs="Calibri"/>
        </w:rPr>
        <w:t xml:space="preserve"> </w:t>
      </w:r>
      <w:r w:rsidRPr="0085443D">
        <w:rPr>
          <w:rFonts w:cs="Calibri"/>
        </w:rPr>
        <w:t>osnovni</w:t>
      </w:r>
      <w:r w:rsidR="001B342E" w:rsidRPr="0085443D">
        <w:rPr>
          <w:rFonts w:cs="Calibri"/>
        </w:rPr>
        <w:t xml:space="preserve"> </w:t>
      </w:r>
      <w:r w:rsidRPr="0085443D">
        <w:rPr>
          <w:rFonts w:cs="Calibri"/>
        </w:rPr>
        <w:t>hidropotencijal</w:t>
      </w:r>
      <w:r w:rsidR="001B342E" w:rsidRPr="0085443D">
        <w:rPr>
          <w:rFonts w:cs="Calibri"/>
        </w:rPr>
        <w:t xml:space="preserve"> </w:t>
      </w:r>
      <w:r w:rsidRPr="0085443D">
        <w:rPr>
          <w:rFonts w:cs="Calibri"/>
        </w:rPr>
        <w:t>opštine</w:t>
      </w:r>
      <w:r w:rsidR="001B342E" w:rsidRPr="0085443D">
        <w:rPr>
          <w:rFonts w:cs="Calibri"/>
        </w:rPr>
        <w:t xml:space="preserve">. </w:t>
      </w:r>
    </w:p>
    <w:p w14:paraId="01C1BF69" w14:textId="049EEA3D" w:rsidR="002E3109" w:rsidRDefault="00EB3891" w:rsidP="00EB3891">
      <w:pPr>
        <w:widowControl w:val="0"/>
        <w:overflowPunct w:val="0"/>
        <w:autoSpaceDE w:val="0"/>
        <w:autoSpaceDN w:val="0"/>
        <w:adjustRightInd w:val="0"/>
        <w:jc w:val="both"/>
        <w:rPr>
          <w:rFonts w:cs="Calibri"/>
        </w:rPr>
      </w:pPr>
      <w:r w:rsidRPr="0085443D">
        <w:rPr>
          <w:rFonts w:cs="Calibri"/>
        </w:rPr>
        <w:t>Veliki problem je nekontrolisana eksploatacija šljunka iz vodotoka što dovodi do devastacije korita i vodnog zemljišta. Ovaj problem je, prije svega, izražen na rijeci Ukrini.</w:t>
      </w:r>
      <w:r w:rsidR="002E0DC4">
        <w:rPr>
          <w:rFonts w:cs="Calibri"/>
        </w:rPr>
        <w:t xml:space="preserve"> </w:t>
      </w:r>
      <w:r w:rsidR="002E0DC4" w:rsidRPr="002E0DC4">
        <w:rPr>
          <w:rFonts w:cs="Calibri"/>
          <w:highlight w:val="cyan"/>
        </w:rPr>
        <w:t>U narednom periodu fokus treba da bude uređenje sliva rijeke Ukrine u cilju zaštite od poplava.</w:t>
      </w:r>
      <w:r w:rsidR="002E0DC4">
        <w:rPr>
          <w:rFonts w:cs="Calibri"/>
        </w:rPr>
        <w:t xml:space="preserve"> </w:t>
      </w:r>
    </w:p>
    <w:p w14:paraId="190C4FD4" w14:textId="77777777" w:rsidR="00B133F2" w:rsidRPr="0085443D" w:rsidRDefault="00B133F2" w:rsidP="002E3109">
      <w:pPr>
        <w:autoSpaceDE w:val="0"/>
        <w:autoSpaceDN w:val="0"/>
        <w:adjustRightInd w:val="0"/>
        <w:jc w:val="both"/>
        <w:rPr>
          <w:rFonts w:ascii="Times New Roman" w:eastAsia="ArialMT" w:hAnsi="Times New Roman"/>
          <w:b/>
          <w:sz w:val="24"/>
          <w:szCs w:val="24"/>
          <w:lang w:val="sr-Cyrl-CS"/>
        </w:rPr>
      </w:pPr>
    </w:p>
    <w:p w14:paraId="085F280B" w14:textId="77777777" w:rsidR="00084612" w:rsidRPr="0085443D" w:rsidRDefault="00084612" w:rsidP="00084612">
      <w:pPr>
        <w:spacing w:after="80"/>
        <w:rPr>
          <w:b/>
          <w:i/>
        </w:rPr>
      </w:pPr>
      <w:r w:rsidRPr="0085443D">
        <w:rPr>
          <w:b/>
          <w:i/>
        </w:rPr>
        <w:t>Stanje zemljišta</w:t>
      </w:r>
    </w:p>
    <w:p w14:paraId="458FDEE8" w14:textId="77777777" w:rsidR="00084612" w:rsidRPr="0085443D" w:rsidRDefault="00084612" w:rsidP="00084612">
      <w:pPr>
        <w:jc w:val="both"/>
        <w:rPr>
          <w:b/>
          <w:i/>
          <w:lang w:val="sr-Cyrl-CS"/>
        </w:rPr>
      </w:pPr>
      <w:r w:rsidRPr="0085443D">
        <w:rPr>
          <w:b/>
          <w:i/>
          <w:lang w:val="sr-Cyrl-CS"/>
        </w:rPr>
        <w:t>Stanje zemljišnih resursa po katastarskim kulturama i vlasničkoj strukturi</w:t>
      </w:r>
    </w:p>
    <w:tbl>
      <w:tblPr>
        <w:tblStyle w:val="GridTable5Dark-Accent5"/>
        <w:tblW w:w="5000" w:type="pct"/>
        <w:tblLayout w:type="fixed"/>
        <w:tblLook w:val="04A0" w:firstRow="1" w:lastRow="0" w:firstColumn="1" w:lastColumn="0" w:noHBand="0" w:noVBand="1"/>
      </w:tblPr>
      <w:tblGrid>
        <w:gridCol w:w="1839"/>
        <w:gridCol w:w="1275"/>
        <w:gridCol w:w="1135"/>
        <w:gridCol w:w="1844"/>
        <w:gridCol w:w="849"/>
        <w:gridCol w:w="944"/>
        <w:gridCol w:w="1464"/>
      </w:tblGrid>
      <w:tr w:rsidR="00084612" w:rsidRPr="0085443D" w14:paraId="0AAFDB93" w14:textId="77777777" w:rsidTr="00A12CB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3" w:type="pct"/>
            <w:vMerge w:val="restart"/>
            <w:noWrap/>
            <w:hideMark/>
          </w:tcPr>
          <w:p w14:paraId="3B673D0F" w14:textId="77777777" w:rsidR="00084612" w:rsidRPr="0085443D" w:rsidRDefault="00084612" w:rsidP="00A12CBC">
            <w:pPr>
              <w:jc w:val="center"/>
              <w:rPr>
                <w:rFonts w:asciiTheme="minorHAnsi" w:hAnsiTheme="minorHAnsi" w:cstheme="minorHAnsi"/>
                <w:color w:val="auto"/>
                <w:lang w:val="sr-Cyrl-BA"/>
              </w:rPr>
            </w:pPr>
            <w:r w:rsidRPr="0085443D">
              <w:rPr>
                <w:rFonts w:asciiTheme="minorHAnsi" w:hAnsiTheme="minorHAnsi" w:cstheme="minorHAnsi"/>
                <w:color w:val="auto"/>
                <w:lang w:val="sr-Cyrl-BA"/>
              </w:rPr>
              <w:t>Kategorija zemljišta</w:t>
            </w:r>
          </w:p>
        </w:tc>
        <w:tc>
          <w:tcPr>
            <w:tcW w:w="3234" w:type="pct"/>
            <w:gridSpan w:val="5"/>
            <w:noWrap/>
            <w:hideMark/>
          </w:tcPr>
          <w:p w14:paraId="029E3F25" w14:textId="77777777" w:rsidR="00084612" w:rsidRPr="0085443D" w:rsidRDefault="00084612" w:rsidP="00A12C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sr-Cyrl-BA"/>
              </w:rPr>
            </w:pPr>
            <w:r w:rsidRPr="0085443D">
              <w:rPr>
                <w:rFonts w:asciiTheme="minorHAnsi" w:hAnsiTheme="minorHAnsi" w:cstheme="minorHAnsi"/>
                <w:color w:val="auto"/>
                <w:lang w:val="sr-Cyrl-BA"/>
              </w:rPr>
              <w:t>Površina (ha)</w:t>
            </w:r>
          </w:p>
        </w:tc>
        <w:tc>
          <w:tcPr>
            <w:tcW w:w="783" w:type="pct"/>
            <w:noWrap/>
            <w:hideMark/>
          </w:tcPr>
          <w:p w14:paraId="0BE927FD" w14:textId="77777777" w:rsidR="00084612" w:rsidRPr="0085443D" w:rsidRDefault="00084612" w:rsidP="00A12C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sr-Cyrl-BA"/>
              </w:rPr>
            </w:pPr>
          </w:p>
        </w:tc>
      </w:tr>
      <w:tr w:rsidR="00084612" w:rsidRPr="0085443D" w14:paraId="2F735112" w14:textId="77777777" w:rsidTr="00A12CBC">
        <w:trPr>
          <w:cnfStyle w:val="000000100000" w:firstRow="0" w:lastRow="0" w:firstColumn="0" w:lastColumn="0" w:oddVBand="0" w:evenVBand="0" w:oddHBand="1"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983" w:type="pct"/>
            <w:vMerge/>
            <w:hideMark/>
          </w:tcPr>
          <w:p w14:paraId="17874587" w14:textId="77777777" w:rsidR="00084612" w:rsidRPr="0085443D" w:rsidRDefault="00084612" w:rsidP="00A12CBC">
            <w:pPr>
              <w:jc w:val="center"/>
              <w:rPr>
                <w:rFonts w:asciiTheme="minorHAnsi" w:hAnsiTheme="minorHAnsi" w:cstheme="minorHAnsi"/>
                <w:b w:val="0"/>
                <w:color w:val="auto"/>
                <w:lang w:val="sr-Cyrl-BA"/>
              </w:rPr>
            </w:pPr>
          </w:p>
        </w:tc>
        <w:tc>
          <w:tcPr>
            <w:tcW w:w="682" w:type="pct"/>
            <w:noWrap/>
            <w:hideMark/>
          </w:tcPr>
          <w:p w14:paraId="3B82F9EE" w14:textId="77777777" w:rsidR="00084612" w:rsidRPr="0085443D" w:rsidRDefault="00084612" w:rsidP="00A12CB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Privatno</w:t>
            </w:r>
          </w:p>
        </w:tc>
        <w:tc>
          <w:tcPr>
            <w:tcW w:w="607" w:type="pct"/>
            <w:noWrap/>
            <w:hideMark/>
          </w:tcPr>
          <w:p w14:paraId="2ABAE0A6" w14:textId="77777777" w:rsidR="00084612" w:rsidRPr="0085443D" w:rsidRDefault="00084612" w:rsidP="00A12CB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w:t>
            </w:r>
          </w:p>
        </w:tc>
        <w:tc>
          <w:tcPr>
            <w:tcW w:w="986" w:type="pct"/>
            <w:hideMark/>
          </w:tcPr>
          <w:p w14:paraId="5E491B31" w14:textId="77777777" w:rsidR="00084612" w:rsidRPr="0085443D" w:rsidRDefault="00084612" w:rsidP="00A12CB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Javno/Državna i opštinska svojina</w:t>
            </w:r>
          </w:p>
        </w:tc>
        <w:tc>
          <w:tcPr>
            <w:tcW w:w="454" w:type="pct"/>
            <w:noWrap/>
            <w:hideMark/>
          </w:tcPr>
          <w:p w14:paraId="35A50D4E" w14:textId="77777777" w:rsidR="00084612" w:rsidRPr="0085443D" w:rsidRDefault="00084612" w:rsidP="00A12CB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w:t>
            </w:r>
          </w:p>
        </w:tc>
        <w:tc>
          <w:tcPr>
            <w:tcW w:w="505" w:type="pct"/>
            <w:noWrap/>
            <w:hideMark/>
          </w:tcPr>
          <w:p w14:paraId="17FC2F66" w14:textId="77777777" w:rsidR="00084612" w:rsidRPr="0085443D" w:rsidRDefault="00084612" w:rsidP="00A12CB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Ukupno</w:t>
            </w:r>
          </w:p>
        </w:tc>
        <w:tc>
          <w:tcPr>
            <w:tcW w:w="783" w:type="pct"/>
            <w:hideMark/>
          </w:tcPr>
          <w:p w14:paraId="40B30929" w14:textId="77777777" w:rsidR="00084612" w:rsidRPr="0085443D" w:rsidRDefault="00084612" w:rsidP="00A12CB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u odnosu na ukupnu površinu zemljišta</w:t>
            </w:r>
          </w:p>
        </w:tc>
      </w:tr>
      <w:tr w:rsidR="00084612" w:rsidRPr="0085443D" w14:paraId="10090895" w14:textId="77777777" w:rsidTr="00A12CBC">
        <w:trPr>
          <w:trHeight w:val="331"/>
        </w:trPr>
        <w:tc>
          <w:tcPr>
            <w:cnfStyle w:val="001000000000" w:firstRow="0" w:lastRow="0" w:firstColumn="1" w:lastColumn="0" w:oddVBand="0" w:evenVBand="0" w:oddHBand="0" w:evenHBand="0" w:firstRowFirstColumn="0" w:firstRowLastColumn="0" w:lastRowFirstColumn="0" w:lastRowLastColumn="0"/>
            <w:tcW w:w="983" w:type="pct"/>
            <w:hideMark/>
          </w:tcPr>
          <w:p w14:paraId="75F9FDF2" w14:textId="77777777" w:rsidR="00084612" w:rsidRPr="0085443D" w:rsidRDefault="00084612" w:rsidP="00A12CBC">
            <w:pPr>
              <w:jc w:val="center"/>
              <w:rPr>
                <w:rFonts w:asciiTheme="minorHAnsi" w:hAnsiTheme="minorHAnsi" w:cstheme="minorHAnsi"/>
                <w:b w:val="0"/>
                <w:color w:val="auto"/>
                <w:lang w:val="sr-Cyrl-BA"/>
              </w:rPr>
            </w:pPr>
            <w:r w:rsidRPr="0085443D">
              <w:rPr>
                <w:rFonts w:asciiTheme="minorHAnsi" w:hAnsiTheme="minorHAnsi" w:cstheme="minorHAnsi"/>
                <w:b w:val="0"/>
                <w:color w:val="auto"/>
                <w:lang w:val="sr-Cyrl-BA"/>
              </w:rPr>
              <w:t>1</w:t>
            </w:r>
          </w:p>
        </w:tc>
        <w:tc>
          <w:tcPr>
            <w:tcW w:w="682" w:type="pct"/>
            <w:noWrap/>
            <w:hideMark/>
          </w:tcPr>
          <w:p w14:paraId="12902806" w14:textId="77777777" w:rsidR="00084612" w:rsidRPr="0085443D" w:rsidRDefault="00084612" w:rsidP="00A12C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2</w:t>
            </w:r>
          </w:p>
        </w:tc>
        <w:tc>
          <w:tcPr>
            <w:tcW w:w="607" w:type="pct"/>
            <w:noWrap/>
            <w:hideMark/>
          </w:tcPr>
          <w:p w14:paraId="3F5C3271" w14:textId="77777777" w:rsidR="00084612" w:rsidRPr="0085443D" w:rsidRDefault="00084612" w:rsidP="00A12C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3=4*100/6</w:t>
            </w:r>
          </w:p>
        </w:tc>
        <w:tc>
          <w:tcPr>
            <w:tcW w:w="986" w:type="pct"/>
            <w:hideMark/>
          </w:tcPr>
          <w:p w14:paraId="4F07DEBC" w14:textId="77777777" w:rsidR="00084612" w:rsidRPr="0085443D" w:rsidRDefault="00084612" w:rsidP="00A12C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4</w:t>
            </w:r>
          </w:p>
        </w:tc>
        <w:tc>
          <w:tcPr>
            <w:tcW w:w="454" w:type="pct"/>
            <w:noWrap/>
            <w:hideMark/>
          </w:tcPr>
          <w:p w14:paraId="7BF8A949" w14:textId="77777777" w:rsidR="00084612" w:rsidRPr="0085443D" w:rsidRDefault="00084612" w:rsidP="00A12C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5=4*100/6</w:t>
            </w:r>
          </w:p>
        </w:tc>
        <w:tc>
          <w:tcPr>
            <w:tcW w:w="505" w:type="pct"/>
            <w:noWrap/>
            <w:hideMark/>
          </w:tcPr>
          <w:p w14:paraId="0D83514E" w14:textId="77777777" w:rsidR="00084612" w:rsidRPr="0085443D" w:rsidRDefault="00084612" w:rsidP="00A12C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6</w:t>
            </w:r>
          </w:p>
        </w:tc>
        <w:tc>
          <w:tcPr>
            <w:tcW w:w="783" w:type="pct"/>
            <w:hideMark/>
          </w:tcPr>
          <w:p w14:paraId="01D2D383" w14:textId="77777777" w:rsidR="00084612" w:rsidRPr="0085443D" w:rsidRDefault="00084612" w:rsidP="00A12C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7=6*100/62.996</w:t>
            </w:r>
          </w:p>
        </w:tc>
      </w:tr>
      <w:tr w:rsidR="00084612" w:rsidRPr="0085443D" w14:paraId="47C4FAC5" w14:textId="77777777" w:rsidTr="00A12C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3" w:type="pct"/>
            <w:noWrap/>
            <w:hideMark/>
          </w:tcPr>
          <w:p w14:paraId="459AF441" w14:textId="77777777" w:rsidR="00084612" w:rsidRPr="0085443D" w:rsidRDefault="00084612" w:rsidP="00A12CBC">
            <w:pPr>
              <w:rPr>
                <w:rFonts w:asciiTheme="minorHAnsi" w:hAnsiTheme="minorHAnsi" w:cstheme="minorHAnsi"/>
                <w:color w:val="auto"/>
                <w:lang w:val="sr-Cyrl-BA"/>
              </w:rPr>
            </w:pPr>
            <w:r w:rsidRPr="0085443D">
              <w:rPr>
                <w:rFonts w:asciiTheme="minorHAnsi" w:hAnsiTheme="minorHAnsi" w:cstheme="minorHAnsi"/>
                <w:color w:val="auto"/>
                <w:lang w:val="sr-Cyrl-BA"/>
              </w:rPr>
              <w:t>Oranice i vrtovi</w:t>
            </w:r>
          </w:p>
        </w:tc>
        <w:tc>
          <w:tcPr>
            <w:tcW w:w="682" w:type="pct"/>
            <w:noWrap/>
            <w:hideMark/>
          </w:tcPr>
          <w:p w14:paraId="64992DF7"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32.344</w:t>
            </w:r>
          </w:p>
        </w:tc>
        <w:tc>
          <w:tcPr>
            <w:tcW w:w="607" w:type="pct"/>
            <w:noWrap/>
            <w:hideMark/>
          </w:tcPr>
          <w:p w14:paraId="63853A17"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91,15     </w:t>
            </w:r>
          </w:p>
        </w:tc>
        <w:tc>
          <w:tcPr>
            <w:tcW w:w="986" w:type="pct"/>
            <w:noWrap/>
            <w:hideMark/>
          </w:tcPr>
          <w:p w14:paraId="09126AA3"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3.142</w:t>
            </w:r>
          </w:p>
        </w:tc>
        <w:tc>
          <w:tcPr>
            <w:tcW w:w="454" w:type="pct"/>
            <w:noWrap/>
            <w:hideMark/>
          </w:tcPr>
          <w:p w14:paraId="2291A05F"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8,85     </w:t>
            </w:r>
          </w:p>
        </w:tc>
        <w:tc>
          <w:tcPr>
            <w:tcW w:w="505" w:type="pct"/>
            <w:noWrap/>
            <w:hideMark/>
          </w:tcPr>
          <w:p w14:paraId="47C215FB"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35.486</w:t>
            </w:r>
          </w:p>
        </w:tc>
        <w:tc>
          <w:tcPr>
            <w:tcW w:w="783" w:type="pct"/>
            <w:noWrap/>
            <w:hideMark/>
          </w:tcPr>
          <w:p w14:paraId="7BD2243C"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56,33</w:t>
            </w:r>
          </w:p>
        </w:tc>
      </w:tr>
      <w:tr w:rsidR="00084612" w:rsidRPr="0085443D" w14:paraId="6B551E6C" w14:textId="77777777" w:rsidTr="00A12CBC">
        <w:trPr>
          <w:trHeight w:val="255"/>
        </w:trPr>
        <w:tc>
          <w:tcPr>
            <w:cnfStyle w:val="001000000000" w:firstRow="0" w:lastRow="0" w:firstColumn="1" w:lastColumn="0" w:oddVBand="0" w:evenVBand="0" w:oddHBand="0" w:evenHBand="0" w:firstRowFirstColumn="0" w:firstRowLastColumn="0" w:lastRowFirstColumn="0" w:lastRowLastColumn="0"/>
            <w:tcW w:w="983" w:type="pct"/>
            <w:noWrap/>
            <w:hideMark/>
          </w:tcPr>
          <w:p w14:paraId="6AD543D6" w14:textId="77777777" w:rsidR="00084612" w:rsidRPr="0085443D" w:rsidRDefault="00084612" w:rsidP="00A12CBC">
            <w:pPr>
              <w:rPr>
                <w:rFonts w:asciiTheme="minorHAnsi" w:hAnsiTheme="minorHAnsi" w:cstheme="minorHAnsi"/>
                <w:color w:val="auto"/>
                <w:lang w:val="sr-Cyrl-BA"/>
              </w:rPr>
            </w:pPr>
            <w:r w:rsidRPr="0085443D">
              <w:rPr>
                <w:rFonts w:asciiTheme="minorHAnsi" w:hAnsiTheme="minorHAnsi" w:cstheme="minorHAnsi"/>
                <w:color w:val="auto"/>
                <w:lang w:val="sr-Cyrl-BA"/>
              </w:rPr>
              <w:t>Voćnjaci</w:t>
            </w:r>
          </w:p>
        </w:tc>
        <w:tc>
          <w:tcPr>
            <w:tcW w:w="682" w:type="pct"/>
            <w:noWrap/>
            <w:hideMark/>
          </w:tcPr>
          <w:p w14:paraId="129854A4"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2.121</w:t>
            </w:r>
          </w:p>
        </w:tc>
        <w:tc>
          <w:tcPr>
            <w:tcW w:w="607" w:type="pct"/>
            <w:noWrap/>
            <w:hideMark/>
          </w:tcPr>
          <w:p w14:paraId="78F3E0A1"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97,07     </w:t>
            </w:r>
          </w:p>
        </w:tc>
        <w:tc>
          <w:tcPr>
            <w:tcW w:w="986" w:type="pct"/>
            <w:noWrap/>
            <w:hideMark/>
          </w:tcPr>
          <w:p w14:paraId="3EFD8483"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64</w:t>
            </w:r>
          </w:p>
        </w:tc>
        <w:tc>
          <w:tcPr>
            <w:tcW w:w="454" w:type="pct"/>
            <w:noWrap/>
            <w:hideMark/>
          </w:tcPr>
          <w:p w14:paraId="1ED17187"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2,93     </w:t>
            </w:r>
          </w:p>
        </w:tc>
        <w:tc>
          <w:tcPr>
            <w:tcW w:w="505" w:type="pct"/>
            <w:noWrap/>
            <w:hideMark/>
          </w:tcPr>
          <w:p w14:paraId="63FD1D03"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2.185</w:t>
            </w:r>
          </w:p>
        </w:tc>
        <w:tc>
          <w:tcPr>
            <w:tcW w:w="783" w:type="pct"/>
            <w:noWrap/>
            <w:hideMark/>
          </w:tcPr>
          <w:p w14:paraId="004ED52F"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3,47</w:t>
            </w:r>
          </w:p>
        </w:tc>
      </w:tr>
      <w:tr w:rsidR="00084612" w:rsidRPr="0085443D" w14:paraId="296AFAF2" w14:textId="77777777" w:rsidTr="00A12C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3" w:type="pct"/>
            <w:noWrap/>
            <w:hideMark/>
          </w:tcPr>
          <w:p w14:paraId="3B7D17D6" w14:textId="77777777" w:rsidR="00084612" w:rsidRPr="0085443D" w:rsidRDefault="00084612" w:rsidP="00A12CBC">
            <w:pPr>
              <w:rPr>
                <w:rFonts w:asciiTheme="minorHAnsi" w:hAnsiTheme="minorHAnsi" w:cstheme="minorHAnsi"/>
                <w:color w:val="auto"/>
                <w:lang w:val="sr-Cyrl-BA"/>
              </w:rPr>
            </w:pPr>
            <w:r w:rsidRPr="0085443D">
              <w:rPr>
                <w:rFonts w:asciiTheme="minorHAnsi" w:hAnsiTheme="minorHAnsi" w:cstheme="minorHAnsi"/>
                <w:color w:val="auto"/>
                <w:lang w:val="sr-Cyrl-BA"/>
              </w:rPr>
              <w:t>Vinogradi</w:t>
            </w:r>
          </w:p>
        </w:tc>
        <w:tc>
          <w:tcPr>
            <w:tcW w:w="682" w:type="pct"/>
            <w:noWrap/>
            <w:hideMark/>
          </w:tcPr>
          <w:p w14:paraId="490845AF"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22</w:t>
            </w:r>
          </w:p>
        </w:tc>
        <w:tc>
          <w:tcPr>
            <w:tcW w:w="607" w:type="pct"/>
            <w:noWrap/>
            <w:hideMark/>
          </w:tcPr>
          <w:p w14:paraId="5D66155A"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95,65     </w:t>
            </w:r>
          </w:p>
        </w:tc>
        <w:tc>
          <w:tcPr>
            <w:tcW w:w="986" w:type="pct"/>
            <w:noWrap/>
            <w:hideMark/>
          </w:tcPr>
          <w:p w14:paraId="304E022D"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1</w:t>
            </w:r>
          </w:p>
        </w:tc>
        <w:tc>
          <w:tcPr>
            <w:tcW w:w="454" w:type="pct"/>
            <w:noWrap/>
            <w:hideMark/>
          </w:tcPr>
          <w:p w14:paraId="3BB64214"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4,35     </w:t>
            </w:r>
          </w:p>
        </w:tc>
        <w:tc>
          <w:tcPr>
            <w:tcW w:w="505" w:type="pct"/>
            <w:noWrap/>
            <w:hideMark/>
          </w:tcPr>
          <w:p w14:paraId="5A11C8EA"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23</w:t>
            </w:r>
          </w:p>
        </w:tc>
        <w:tc>
          <w:tcPr>
            <w:tcW w:w="783" w:type="pct"/>
            <w:noWrap/>
            <w:hideMark/>
          </w:tcPr>
          <w:p w14:paraId="77559611"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2,86</w:t>
            </w:r>
          </w:p>
        </w:tc>
      </w:tr>
      <w:tr w:rsidR="00084612" w:rsidRPr="0085443D" w14:paraId="5625E5FF" w14:textId="77777777" w:rsidTr="00A12CBC">
        <w:trPr>
          <w:trHeight w:val="255"/>
        </w:trPr>
        <w:tc>
          <w:tcPr>
            <w:cnfStyle w:val="001000000000" w:firstRow="0" w:lastRow="0" w:firstColumn="1" w:lastColumn="0" w:oddVBand="0" w:evenVBand="0" w:oddHBand="0" w:evenHBand="0" w:firstRowFirstColumn="0" w:firstRowLastColumn="0" w:lastRowFirstColumn="0" w:lastRowLastColumn="0"/>
            <w:tcW w:w="983" w:type="pct"/>
            <w:noWrap/>
            <w:hideMark/>
          </w:tcPr>
          <w:p w14:paraId="0829D7A1" w14:textId="77777777" w:rsidR="00084612" w:rsidRPr="0085443D" w:rsidRDefault="00084612" w:rsidP="00A12CBC">
            <w:pPr>
              <w:rPr>
                <w:rFonts w:asciiTheme="minorHAnsi" w:hAnsiTheme="minorHAnsi" w:cstheme="minorHAnsi"/>
                <w:color w:val="auto"/>
                <w:lang w:val="sr-Cyrl-BA"/>
              </w:rPr>
            </w:pPr>
            <w:r w:rsidRPr="0085443D">
              <w:rPr>
                <w:rFonts w:asciiTheme="minorHAnsi" w:hAnsiTheme="minorHAnsi" w:cstheme="minorHAnsi"/>
                <w:color w:val="auto"/>
                <w:lang w:val="sr-Cyrl-BA"/>
              </w:rPr>
              <w:t>Livade</w:t>
            </w:r>
          </w:p>
        </w:tc>
        <w:tc>
          <w:tcPr>
            <w:tcW w:w="682" w:type="pct"/>
            <w:noWrap/>
            <w:hideMark/>
          </w:tcPr>
          <w:p w14:paraId="4841FA6E"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1.656</w:t>
            </w:r>
          </w:p>
        </w:tc>
        <w:tc>
          <w:tcPr>
            <w:tcW w:w="607" w:type="pct"/>
            <w:noWrap/>
            <w:hideMark/>
          </w:tcPr>
          <w:p w14:paraId="2631179E"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92,05     </w:t>
            </w:r>
          </w:p>
        </w:tc>
        <w:tc>
          <w:tcPr>
            <w:tcW w:w="986" w:type="pct"/>
            <w:noWrap/>
            <w:hideMark/>
          </w:tcPr>
          <w:p w14:paraId="4463D114"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143</w:t>
            </w:r>
          </w:p>
        </w:tc>
        <w:tc>
          <w:tcPr>
            <w:tcW w:w="454" w:type="pct"/>
            <w:noWrap/>
            <w:hideMark/>
          </w:tcPr>
          <w:p w14:paraId="4458CD73"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7,95     </w:t>
            </w:r>
          </w:p>
        </w:tc>
        <w:tc>
          <w:tcPr>
            <w:tcW w:w="505" w:type="pct"/>
            <w:noWrap/>
            <w:hideMark/>
          </w:tcPr>
          <w:p w14:paraId="1DCE7ECF"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1.799</w:t>
            </w:r>
          </w:p>
        </w:tc>
        <w:tc>
          <w:tcPr>
            <w:tcW w:w="783" w:type="pct"/>
            <w:noWrap/>
            <w:hideMark/>
          </w:tcPr>
          <w:p w14:paraId="15E3905C"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2,86</w:t>
            </w:r>
          </w:p>
        </w:tc>
      </w:tr>
      <w:tr w:rsidR="00084612" w:rsidRPr="0085443D" w14:paraId="667FD13C" w14:textId="77777777" w:rsidTr="00A12C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3" w:type="pct"/>
            <w:noWrap/>
            <w:hideMark/>
          </w:tcPr>
          <w:p w14:paraId="06F559E8" w14:textId="77777777" w:rsidR="00084612" w:rsidRPr="0085443D" w:rsidRDefault="00084612" w:rsidP="00A12CBC">
            <w:pPr>
              <w:rPr>
                <w:rFonts w:asciiTheme="minorHAnsi" w:hAnsiTheme="minorHAnsi" w:cstheme="minorHAnsi"/>
                <w:bCs w:val="0"/>
                <w:color w:val="auto"/>
                <w:lang w:val="sr-Cyrl-BA"/>
              </w:rPr>
            </w:pPr>
            <w:r w:rsidRPr="0085443D">
              <w:rPr>
                <w:rFonts w:asciiTheme="minorHAnsi" w:hAnsiTheme="minorHAnsi" w:cstheme="minorHAnsi"/>
                <w:bCs w:val="0"/>
                <w:color w:val="auto"/>
                <w:lang w:val="sr-Cyrl-BA"/>
              </w:rPr>
              <w:t>Ukupno obradivo zemljište</w:t>
            </w:r>
          </w:p>
        </w:tc>
        <w:tc>
          <w:tcPr>
            <w:tcW w:w="682" w:type="pct"/>
            <w:noWrap/>
            <w:hideMark/>
          </w:tcPr>
          <w:p w14:paraId="0D86CCD6"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85443D">
              <w:rPr>
                <w:rFonts w:asciiTheme="minorHAnsi" w:hAnsiTheme="minorHAnsi" w:cstheme="minorHAnsi"/>
                <w:b/>
                <w:bCs/>
              </w:rPr>
              <w:t>36.143</w:t>
            </w:r>
          </w:p>
        </w:tc>
        <w:tc>
          <w:tcPr>
            <w:tcW w:w="607" w:type="pct"/>
            <w:noWrap/>
            <w:hideMark/>
          </w:tcPr>
          <w:p w14:paraId="076CE006"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91,52     </w:t>
            </w:r>
          </w:p>
        </w:tc>
        <w:tc>
          <w:tcPr>
            <w:tcW w:w="986" w:type="pct"/>
            <w:noWrap/>
            <w:hideMark/>
          </w:tcPr>
          <w:p w14:paraId="76DAF515"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85443D">
              <w:rPr>
                <w:rFonts w:asciiTheme="minorHAnsi" w:hAnsiTheme="minorHAnsi" w:cstheme="minorHAnsi"/>
                <w:b/>
                <w:bCs/>
              </w:rPr>
              <w:t>3.350</w:t>
            </w:r>
          </w:p>
        </w:tc>
        <w:tc>
          <w:tcPr>
            <w:tcW w:w="454" w:type="pct"/>
            <w:noWrap/>
            <w:hideMark/>
          </w:tcPr>
          <w:p w14:paraId="48F91B97"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8,48     </w:t>
            </w:r>
          </w:p>
        </w:tc>
        <w:tc>
          <w:tcPr>
            <w:tcW w:w="505" w:type="pct"/>
            <w:noWrap/>
            <w:hideMark/>
          </w:tcPr>
          <w:p w14:paraId="17A45E87"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39.493</w:t>
            </w:r>
          </w:p>
        </w:tc>
        <w:tc>
          <w:tcPr>
            <w:tcW w:w="783" w:type="pct"/>
            <w:noWrap/>
            <w:hideMark/>
          </w:tcPr>
          <w:p w14:paraId="17CB1F63"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62,69</w:t>
            </w:r>
          </w:p>
        </w:tc>
      </w:tr>
      <w:tr w:rsidR="00084612" w:rsidRPr="0085443D" w14:paraId="126C228E" w14:textId="77777777" w:rsidTr="00A12CBC">
        <w:trPr>
          <w:trHeight w:val="255"/>
        </w:trPr>
        <w:tc>
          <w:tcPr>
            <w:cnfStyle w:val="001000000000" w:firstRow="0" w:lastRow="0" w:firstColumn="1" w:lastColumn="0" w:oddVBand="0" w:evenVBand="0" w:oddHBand="0" w:evenHBand="0" w:firstRowFirstColumn="0" w:firstRowLastColumn="0" w:lastRowFirstColumn="0" w:lastRowLastColumn="0"/>
            <w:tcW w:w="983" w:type="pct"/>
            <w:noWrap/>
            <w:hideMark/>
          </w:tcPr>
          <w:p w14:paraId="508AD472" w14:textId="77777777" w:rsidR="00084612" w:rsidRPr="0085443D" w:rsidRDefault="00084612" w:rsidP="00A12CBC">
            <w:pPr>
              <w:rPr>
                <w:rFonts w:asciiTheme="minorHAnsi" w:hAnsiTheme="minorHAnsi" w:cstheme="minorHAnsi"/>
                <w:color w:val="auto"/>
                <w:lang w:val="sr-Cyrl-BA"/>
              </w:rPr>
            </w:pPr>
            <w:r w:rsidRPr="0085443D">
              <w:rPr>
                <w:rFonts w:asciiTheme="minorHAnsi" w:hAnsiTheme="minorHAnsi" w:cstheme="minorHAnsi"/>
                <w:color w:val="auto"/>
                <w:lang w:val="sr-Cyrl-BA"/>
              </w:rPr>
              <w:t>Pašnjaci</w:t>
            </w:r>
          </w:p>
        </w:tc>
        <w:tc>
          <w:tcPr>
            <w:tcW w:w="682" w:type="pct"/>
            <w:noWrap/>
            <w:hideMark/>
          </w:tcPr>
          <w:p w14:paraId="7904F799"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1.798</w:t>
            </w:r>
          </w:p>
        </w:tc>
        <w:tc>
          <w:tcPr>
            <w:tcW w:w="607" w:type="pct"/>
            <w:noWrap/>
            <w:hideMark/>
          </w:tcPr>
          <w:p w14:paraId="4E9B8EC9"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62,76     </w:t>
            </w:r>
          </w:p>
        </w:tc>
        <w:tc>
          <w:tcPr>
            <w:tcW w:w="986" w:type="pct"/>
            <w:noWrap/>
            <w:hideMark/>
          </w:tcPr>
          <w:p w14:paraId="40C18591"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1.067</w:t>
            </w:r>
          </w:p>
        </w:tc>
        <w:tc>
          <w:tcPr>
            <w:tcW w:w="454" w:type="pct"/>
            <w:noWrap/>
            <w:hideMark/>
          </w:tcPr>
          <w:p w14:paraId="5B2DEFA1"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37,24     </w:t>
            </w:r>
          </w:p>
        </w:tc>
        <w:tc>
          <w:tcPr>
            <w:tcW w:w="505" w:type="pct"/>
            <w:noWrap/>
            <w:hideMark/>
          </w:tcPr>
          <w:p w14:paraId="0C4ED92B"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2.865</w:t>
            </w:r>
          </w:p>
        </w:tc>
        <w:tc>
          <w:tcPr>
            <w:tcW w:w="783" w:type="pct"/>
            <w:noWrap/>
            <w:hideMark/>
          </w:tcPr>
          <w:p w14:paraId="47EE0CC1"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4,55</w:t>
            </w:r>
          </w:p>
        </w:tc>
      </w:tr>
      <w:tr w:rsidR="00084612" w:rsidRPr="0085443D" w14:paraId="39FA010B" w14:textId="77777777" w:rsidTr="00A12C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3" w:type="pct"/>
            <w:noWrap/>
            <w:hideMark/>
          </w:tcPr>
          <w:p w14:paraId="59765E47" w14:textId="77777777" w:rsidR="00084612" w:rsidRPr="0085443D" w:rsidRDefault="00084612" w:rsidP="00A12CBC">
            <w:pPr>
              <w:rPr>
                <w:rFonts w:asciiTheme="minorHAnsi" w:hAnsiTheme="minorHAnsi" w:cstheme="minorHAnsi"/>
                <w:color w:val="auto"/>
                <w:lang w:val="sr-Cyrl-BA"/>
              </w:rPr>
            </w:pPr>
            <w:r w:rsidRPr="0085443D">
              <w:rPr>
                <w:rFonts w:asciiTheme="minorHAnsi" w:hAnsiTheme="minorHAnsi" w:cstheme="minorHAnsi"/>
                <w:color w:val="auto"/>
                <w:lang w:val="sr-Cyrl-BA"/>
              </w:rPr>
              <w:t>Ribnjaci</w:t>
            </w:r>
          </w:p>
        </w:tc>
        <w:tc>
          <w:tcPr>
            <w:tcW w:w="682" w:type="pct"/>
            <w:noWrap/>
            <w:hideMark/>
          </w:tcPr>
          <w:p w14:paraId="2D0BA894"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2</w:t>
            </w:r>
          </w:p>
        </w:tc>
        <w:tc>
          <w:tcPr>
            <w:tcW w:w="607" w:type="pct"/>
            <w:noWrap/>
            <w:hideMark/>
          </w:tcPr>
          <w:p w14:paraId="334F06FD"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0,33     </w:t>
            </w:r>
          </w:p>
        </w:tc>
        <w:tc>
          <w:tcPr>
            <w:tcW w:w="986" w:type="pct"/>
            <w:noWrap/>
            <w:hideMark/>
          </w:tcPr>
          <w:p w14:paraId="79CBEDDA"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603</w:t>
            </w:r>
          </w:p>
        </w:tc>
        <w:tc>
          <w:tcPr>
            <w:tcW w:w="454" w:type="pct"/>
            <w:noWrap/>
            <w:hideMark/>
          </w:tcPr>
          <w:p w14:paraId="1F70AB26"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99,67     </w:t>
            </w:r>
          </w:p>
        </w:tc>
        <w:tc>
          <w:tcPr>
            <w:tcW w:w="505" w:type="pct"/>
            <w:noWrap/>
            <w:hideMark/>
          </w:tcPr>
          <w:p w14:paraId="40629A76"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605</w:t>
            </w:r>
          </w:p>
        </w:tc>
        <w:tc>
          <w:tcPr>
            <w:tcW w:w="783" w:type="pct"/>
            <w:noWrap/>
            <w:hideMark/>
          </w:tcPr>
          <w:p w14:paraId="21CC698D"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0,96</w:t>
            </w:r>
          </w:p>
        </w:tc>
      </w:tr>
      <w:tr w:rsidR="00084612" w:rsidRPr="0085443D" w14:paraId="2BFF5CCC" w14:textId="77777777" w:rsidTr="00A12CBC">
        <w:trPr>
          <w:trHeight w:val="255"/>
        </w:trPr>
        <w:tc>
          <w:tcPr>
            <w:cnfStyle w:val="001000000000" w:firstRow="0" w:lastRow="0" w:firstColumn="1" w:lastColumn="0" w:oddVBand="0" w:evenVBand="0" w:oddHBand="0" w:evenHBand="0" w:firstRowFirstColumn="0" w:firstRowLastColumn="0" w:lastRowFirstColumn="0" w:lastRowLastColumn="0"/>
            <w:tcW w:w="983" w:type="pct"/>
            <w:noWrap/>
            <w:hideMark/>
          </w:tcPr>
          <w:p w14:paraId="4706CD06" w14:textId="77777777" w:rsidR="00084612" w:rsidRPr="0085443D" w:rsidRDefault="00084612" w:rsidP="00A12CBC">
            <w:pPr>
              <w:rPr>
                <w:rFonts w:asciiTheme="minorHAnsi" w:hAnsiTheme="minorHAnsi" w:cstheme="minorHAnsi"/>
                <w:color w:val="auto"/>
                <w:lang w:val="sr-Cyrl-BA"/>
              </w:rPr>
            </w:pPr>
            <w:r w:rsidRPr="0085443D">
              <w:rPr>
                <w:rFonts w:asciiTheme="minorHAnsi" w:hAnsiTheme="minorHAnsi" w:cstheme="minorHAnsi"/>
                <w:color w:val="auto"/>
                <w:lang w:val="sr-Cyrl-BA"/>
              </w:rPr>
              <w:t>Trstici</w:t>
            </w:r>
          </w:p>
        </w:tc>
        <w:tc>
          <w:tcPr>
            <w:tcW w:w="682" w:type="pct"/>
            <w:noWrap/>
            <w:hideMark/>
          </w:tcPr>
          <w:p w14:paraId="6AF44AB3"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3</w:t>
            </w:r>
          </w:p>
        </w:tc>
        <w:tc>
          <w:tcPr>
            <w:tcW w:w="607" w:type="pct"/>
            <w:noWrap/>
            <w:hideMark/>
          </w:tcPr>
          <w:p w14:paraId="38E2A7F8"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100,00     </w:t>
            </w:r>
          </w:p>
        </w:tc>
        <w:tc>
          <w:tcPr>
            <w:tcW w:w="986" w:type="pct"/>
            <w:noWrap/>
            <w:hideMark/>
          </w:tcPr>
          <w:p w14:paraId="6A52A125"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0</w:t>
            </w:r>
          </w:p>
        </w:tc>
        <w:tc>
          <w:tcPr>
            <w:tcW w:w="454" w:type="pct"/>
            <w:noWrap/>
            <w:hideMark/>
          </w:tcPr>
          <w:p w14:paraId="7EFCF04A"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0,00     </w:t>
            </w:r>
          </w:p>
        </w:tc>
        <w:tc>
          <w:tcPr>
            <w:tcW w:w="505" w:type="pct"/>
            <w:noWrap/>
            <w:hideMark/>
          </w:tcPr>
          <w:p w14:paraId="489B3DA5"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3</w:t>
            </w:r>
          </w:p>
        </w:tc>
        <w:tc>
          <w:tcPr>
            <w:tcW w:w="783" w:type="pct"/>
            <w:noWrap/>
            <w:hideMark/>
          </w:tcPr>
          <w:p w14:paraId="0698B90A"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0,00</w:t>
            </w:r>
          </w:p>
        </w:tc>
      </w:tr>
      <w:tr w:rsidR="00084612" w:rsidRPr="0085443D" w14:paraId="613FD85F" w14:textId="77777777" w:rsidTr="00A12C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3" w:type="pct"/>
            <w:noWrap/>
            <w:hideMark/>
          </w:tcPr>
          <w:p w14:paraId="7E97BF5E" w14:textId="77777777" w:rsidR="00084612" w:rsidRPr="0085443D" w:rsidRDefault="00084612" w:rsidP="00A12CBC">
            <w:pPr>
              <w:rPr>
                <w:rFonts w:asciiTheme="minorHAnsi" w:hAnsiTheme="minorHAnsi" w:cstheme="minorHAnsi"/>
                <w:bCs w:val="0"/>
                <w:color w:val="auto"/>
                <w:lang w:val="sr-Cyrl-BA"/>
              </w:rPr>
            </w:pPr>
            <w:r w:rsidRPr="0085443D">
              <w:rPr>
                <w:rFonts w:asciiTheme="minorHAnsi" w:hAnsiTheme="minorHAnsi" w:cstheme="minorHAnsi"/>
                <w:bCs w:val="0"/>
                <w:color w:val="auto"/>
                <w:lang w:val="sr-Cyrl-BA"/>
              </w:rPr>
              <w:t>Ukupno poljoprivredno zemljište</w:t>
            </w:r>
          </w:p>
        </w:tc>
        <w:tc>
          <w:tcPr>
            <w:tcW w:w="682" w:type="pct"/>
            <w:noWrap/>
            <w:hideMark/>
          </w:tcPr>
          <w:p w14:paraId="1E95815F"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85443D">
              <w:rPr>
                <w:rFonts w:asciiTheme="minorHAnsi" w:hAnsiTheme="minorHAnsi" w:cstheme="minorHAnsi"/>
                <w:b/>
                <w:bCs/>
              </w:rPr>
              <w:t>37.946</w:t>
            </w:r>
          </w:p>
        </w:tc>
        <w:tc>
          <w:tcPr>
            <w:tcW w:w="607" w:type="pct"/>
            <w:noWrap/>
            <w:hideMark/>
          </w:tcPr>
          <w:p w14:paraId="6890D5AD"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88,32     </w:t>
            </w:r>
          </w:p>
        </w:tc>
        <w:tc>
          <w:tcPr>
            <w:tcW w:w="986" w:type="pct"/>
            <w:noWrap/>
            <w:hideMark/>
          </w:tcPr>
          <w:p w14:paraId="17624895"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85443D">
              <w:rPr>
                <w:rFonts w:asciiTheme="minorHAnsi" w:hAnsiTheme="minorHAnsi" w:cstheme="minorHAnsi"/>
                <w:b/>
                <w:bCs/>
              </w:rPr>
              <w:t>5.020</w:t>
            </w:r>
          </w:p>
        </w:tc>
        <w:tc>
          <w:tcPr>
            <w:tcW w:w="454" w:type="pct"/>
            <w:noWrap/>
            <w:hideMark/>
          </w:tcPr>
          <w:p w14:paraId="308743D6"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11,68     </w:t>
            </w:r>
          </w:p>
        </w:tc>
        <w:tc>
          <w:tcPr>
            <w:tcW w:w="505" w:type="pct"/>
            <w:noWrap/>
            <w:hideMark/>
          </w:tcPr>
          <w:p w14:paraId="50423C10"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42.966</w:t>
            </w:r>
          </w:p>
        </w:tc>
        <w:tc>
          <w:tcPr>
            <w:tcW w:w="783" w:type="pct"/>
            <w:noWrap/>
            <w:hideMark/>
          </w:tcPr>
          <w:p w14:paraId="18070B0E"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68,20</w:t>
            </w:r>
          </w:p>
        </w:tc>
      </w:tr>
      <w:tr w:rsidR="00084612" w:rsidRPr="0085443D" w14:paraId="6608C96A" w14:textId="77777777" w:rsidTr="00A12CBC">
        <w:trPr>
          <w:trHeight w:val="255"/>
        </w:trPr>
        <w:tc>
          <w:tcPr>
            <w:cnfStyle w:val="001000000000" w:firstRow="0" w:lastRow="0" w:firstColumn="1" w:lastColumn="0" w:oddVBand="0" w:evenVBand="0" w:oddHBand="0" w:evenHBand="0" w:firstRowFirstColumn="0" w:firstRowLastColumn="0" w:lastRowFirstColumn="0" w:lastRowLastColumn="0"/>
            <w:tcW w:w="983" w:type="pct"/>
            <w:noWrap/>
            <w:hideMark/>
          </w:tcPr>
          <w:p w14:paraId="695CAEDE" w14:textId="77777777" w:rsidR="00084612" w:rsidRPr="0085443D" w:rsidRDefault="00084612" w:rsidP="00A12CBC">
            <w:pPr>
              <w:rPr>
                <w:rFonts w:asciiTheme="minorHAnsi" w:hAnsiTheme="minorHAnsi" w:cstheme="minorHAnsi"/>
                <w:color w:val="auto"/>
                <w:lang w:val="sr-Cyrl-BA"/>
              </w:rPr>
            </w:pPr>
            <w:r w:rsidRPr="0085443D">
              <w:rPr>
                <w:rFonts w:asciiTheme="minorHAnsi" w:hAnsiTheme="minorHAnsi" w:cstheme="minorHAnsi"/>
                <w:color w:val="auto"/>
                <w:lang w:val="sr-Cyrl-BA"/>
              </w:rPr>
              <w:t>Šume</w:t>
            </w:r>
          </w:p>
        </w:tc>
        <w:tc>
          <w:tcPr>
            <w:tcW w:w="682" w:type="pct"/>
            <w:noWrap/>
            <w:hideMark/>
          </w:tcPr>
          <w:p w14:paraId="23AD6C3E"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7.457</w:t>
            </w:r>
          </w:p>
        </w:tc>
        <w:tc>
          <w:tcPr>
            <w:tcW w:w="607" w:type="pct"/>
            <w:noWrap/>
            <w:hideMark/>
          </w:tcPr>
          <w:p w14:paraId="4F1E4816"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 xml:space="preserve">42,89     </w:t>
            </w:r>
          </w:p>
        </w:tc>
        <w:tc>
          <w:tcPr>
            <w:tcW w:w="986" w:type="pct"/>
            <w:noWrap/>
            <w:hideMark/>
          </w:tcPr>
          <w:p w14:paraId="57C04B5C"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9.930</w:t>
            </w:r>
          </w:p>
        </w:tc>
        <w:tc>
          <w:tcPr>
            <w:tcW w:w="454" w:type="pct"/>
            <w:noWrap/>
            <w:hideMark/>
          </w:tcPr>
          <w:p w14:paraId="0717DA53"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 xml:space="preserve">57,11     </w:t>
            </w:r>
          </w:p>
        </w:tc>
        <w:tc>
          <w:tcPr>
            <w:tcW w:w="505" w:type="pct"/>
            <w:noWrap/>
            <w:hideMark/>
          </w:tcPr>
          <w:p w14:paraId="391F43B9"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17.387</w:t>
            </w:r>
          </w:p>
        </w:tc>
        <w:tc>
          <w:tcPr>
            <w:tcW w:w="783" w:type="pct"/>
            <w:noWrap/>
            <w:hideMark/>
          </w:tcPr>
          <w:p w14:paraId="7F75D211"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27,60</w:t>
            </w:r>
          </w:p>
        </w:tc>
      </w:tr>
      <w:tr w:rsidR="00084612" w:rsidRPr="0085443D" w14:paraId="05590411" w14:textId="77777777" w:rsidTr="00A12C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3" w:type="pct"/>
            <w:noWrap/>
            <w:hideMark/>
          </w:tcPr>
          <w:p w14:paraId="7A23CF6E" w14:textId="77777777" w:rsidR="00084612" w:rsidRPr="0085443D" w:rsidRDefault="00084612" w:rsidP="00A12CBC">
            <w:pPr>
              <w:rPr>
                <w:rFonts w:asciiTheme="minorHAnsi" w:hAnsiTheme="minorHAnsi" w:cstheme="minorHAnsi"/>
                <w:color w:val="auto"/>
                <w:lang w:val="sr-Cyrl-BA"/>
              </w:rPr>
            </w:pPr>
            <w:r w:rsidRPr="0085443D">
              <w:rPr>
                <w:rFonts w:asciiTheme="minorHAnsi" w:hAnsiTheme="minorHAnsi" w:cstheme="minorHAnsi"/>
                <w:color w:val="auto"/>
                <w:lang w:val="sr-Cyrl-BA"/>
              </w:rPr>
              <w:t>Neplodno zemljište</w:t>
            </w:r>
          </w:p>
        </w:tc>
        <w:tc>
          <w:tcPr>
            <w:tcW w:w="682" w:type="pct"/>
            <w:noWrap/>
            <w:hideMark/>
          </w:tcPr>
          <w:p w14:paraId="4AD9ACB1"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697</w:t>
            </w:r>
          </w:p>
        </w:tc>
        <w:tc>
          <w:tcPr>
            <w:tcW w:w="607" w:type="pct"/>
            <w:noWrap/>
            <w:hideMark/>
          </w:tcPr>
          <w:p w14:paraId="1BC2D45A"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26,37     </w:t>
            </w:r>
          </w:p>
        </w:tc>
        <w:tc>
          <w:tcPr>
            <w:tcW w:w="986" w:type="pct"/>
            <w:noWrap/>
            <w:hideMark/>
          </w:tcPr>
          <w:p w14:paraId="1C593034"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1.946</w:t>
            </w:r>
          </w:p>
        </w:tc>
        <w:tc>
          <w:tcPr>
            <w:tcW w:w="454" w:type="pct"/>
            <w:noWrap/>
            <w:hideMark/>
          </w:tcPr>
          <w:p w14:paraId="249AF483"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73,63     </w:t>
            </w:r>
          </w:p>
        </w:tc>
        <w:tc>
          <w:tcPr>
            <w:tcW w:w="505" w:type="pct"/>
            <w:noWrap/>
            <w:hideMark/>
          </w:tcPr>
          <w:p w14:paraId="67A31337"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443D">
              <w:rPr>
                <w:rFonts w:asciiTheme="minorHAnsi" w:hAnsiTheme="minorHAnsi" w:cstheme="minorHAnsi"/>
                <w:b/>
              </w:rPr>
              <w:t>2.643</w:t>
            </w:r>
          </w:p>
        </w:tc>
        <w:tc>
          <w:tcPr>
            <w:tcW w:w="783" w:type="pct"/>
            <w:noWrap/>
            <w:hideMark/>
          </w:tcPr>
          <w:p w14:paraId="762505B6" w14:textId="77777777" w:rsidR="00084612" w:rsidRPr="0085443D" w:rsidRDefault="00084612" w:rsidP="00A12C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4,20</w:t>
            </w:r>
          </w:p>
        </w:tc>
      </w:tr>
      <w:tr w:rsidR="00084612" w:rsidRPr="0085443D" w14:paraId="0F64B0B1" w14:textId="77777777" w:rsidTr="00A12CBC">
        <w:trPr>
          <w:trHeight w:val="255"/>
        </w:trPr>
        <w:tc>
          <w:tcPr>
            <w:cnfStyle w:val="001000000000" w:firstRow="0" w:lastRow="0" w:firstColumn="1" w:lastColumn="0" w:oddVBand="0" w:evenVBand="0" w:oddHBand="0" w:evenHBand="0" w:firstRowFirstColumn="0" w:firstRowLastColumn="0" w:lastRowFirstColumn="0" w:lastRowLastColumn="0"/>
            <w:tcW w:w="983" w:type="pct"/>
            <w:noWrap/>
            <w:hideMark/>
          </w:tcPr>
          <w:p w14:paraId="42FDB7D9" w14:textId="77777777" w:rsidR="00084612" w:rsidRPr="0085443D" w:rsidRDefault="00084612" w:rsidP="00A12CBC">
            <w:pPr>
              <w:rPr>
                <w:rFonts w:asciiTheme="minorHAnsi" w:hAnsiTheme="minorHAnsi" w:cstheme="minorHAnsi"/>
                <w:bCs w:val="0"/>
                <w:color w:val="auto"/>
                <w:lang w:val="sr-Cyrl-BA"/>
              </w:rPr>
            </w:pPr>
            <w:r w:rsidRPr="0085443D">
              <w:rPr>
                <w:rFonts w:asciiTheme="minorHAnsi" w:hAnsiTheme="minorHAnsi" w:cstheme="minorHAnsi"/>
                <w:bCs w:val="0"/>
                <w:color w:val="auto"/>
                <w:lang w:val="sr-Cyrl-BA"/>
              </w:rPr>
              <w:t>Ukupno</w:t>
            </w:r>
          </w:p>
        </w:tc>
        <w:tc>
          <w:tcPr>
            <w:tcW w:w="682" w:type="pct"/>
            <w:noWrap/>
            <w:hideMark/>
          </w:tcPr>
          <w:p w14:paraId="1A82D81A"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85443D">
              <w:rPr>
                <w:rFonts w:asciiTheme="minorHAnsi" w:hAnsiTheme="minorHAnsi" w:cstheme="minorHAnsi"/>
                <w:b/>
                <w:bCs/>
              </w:rPr>
              <w:t>46.132</w:t>
            </w:r>
          </w:p>
        </w:tc>
        <w:tc>
          <w:tcPr>
            <w:tcW w:w="607" w:type="pct"/>
            <w:noWrap/>
            <w:hideMark/>
          </w:tcPr>
          <w:p w14:paraId="28A90FE0"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73,23     </w:t>
            </w:r>
          </w:p>
        </w:tc>
        <w:tc>
          <w:tcPr>
            <w:tcW w:w="986" w:type="pct"/>
            <w:noWrap/>
            <w:hideMark/>
          </w:tcPr>
          <w:p w14:paraId="78D2C137"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85443D">
              <w:rPr>
                <w:rFonts w:asciiTheme="minorHAnsi" w:hAnsiTheme="minorHAnsi" w:cstheme="minorHAnsi"/>
                <w:b/>
                <w:bCs/>
              </w:rPr>
              <w:t>16.864</w:t>
            </w:r>
          </w:p>
        </w:tc>
        <w:tc>
          <w:tcPr>
            <w:tcW w:w="454" w:type="pct"/>
            <w:noWrap/>
            <w:hideMark/>
          </w:tcPr>
          <w:p w14:paraId="484B47B4"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 xml:space="preserve">26,77     </w:t>
            </w:r>
          </w:p>
        </w:tc>
        <w:tc>
          <w:tcPr>
            <w:tcW w:w="505" w:type="pct"/>
            <w:noWrap/>
            <w:hideMark/>
          </w:tcPr>
          <w:p w14:paraId="0B0A8D73"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85443D">
              <w:rPr>
                <w:rFonts w:asciiTheme="minorHAnsi" w:hAnsiTheme="minorHAnsi" w:cstheme="minorHAnsi"/>
                <w:b/>
                <w:bCs/>
              </w:rPr>
              <w:t>62.996</w:t>
            </w:r>
          </w:p>
        </w:tc>
        <w:tc>
          <w:tcPr>
            <w:tcW w:w="783" w:type="pct"/>
            <w:noWrap/>
            <w:hideMark/>
          </w:tcPr>
          <w:p w14:paraId="2EE12C13" w14:textId="77777777" w:rsidR="00084612" w:rsidRPr="0085443D" w:rsidRDefault="00084612" w:rsidP="00A12C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sr-Cyrl-BA"/>
              </w:rPr>
            </w:pPr>
            <w:r w:rsidRPr="0085443D">
              <w:rPr>
                <w:rFonts w:asciiTheme="minorHAnsi" w:hAnsiTheme="minorHAnsi" w:cstheme="minorHAnsi"/>
                <w:b/>
                <w:lang w:val="sr-Cyrl-BA"/>
              </w:rPr>
              <w:t>100,00</w:t>
            </w:r>
          </w:p>
        </w:tc>
      </w:tr>
    </w:tbl>
    <w:p w14:paraId="24DB3D56" w14:textId="6CA071FE" w:rsidR="00084612" w:rsidRPr="007C1308" w:rsidRDefault="001202F8" w:rsidP="00084612">
      <w:pPr>
        <w:jc w:val="both"/>
        <w:rPr>
          <w:highlight w:val="cyan"/>
        </w:rPr>
      </w:pPr>
      <w:r w:rsidRPr="007C1308">
        <w:rPr>
          <w:highlight w:val="cyan"/>
        </w:rPr>
        <w:t>Zna</w:t>
      </w:r>
      <w:r w:rsidR="007C1308">
        <w:rPr>
          <w:highlight w:val="cyan"/>
        </w:rPr>
        <w:t>č</w:t>
      </w:r>
      <w:r w:rsidRPr="007C1308">
        <w:rPr>
          <w:highlight w:val="cyan"/>
        </w:rPr>
        <w:t>ajan udio poljoprivrednog u ukupnoj površini zemljišta ukazuje na mogućnosti daljeg razvoja poljoprivrede te jačanje lokalnih lanaca vrijednosti u pogledu povezivanja poljoprivrednih proizvođača sa već dosta razvijenom prehrambenom in</w:t>
      </w:r>
      <w:r w:rsidR="007C1308">
        <w:rPr>
          <w:highlight w:val="cyan"/>
        </w:rPr>
        <w:t>dustrijom. Takođe, značajan je i</w:t>
      </w:r>
      <w:r w:rsidRPr="007C1308">
        <w:rPr>
          <w:highlight w:val="cyan"/>
        </w:rPr>
        <w:t xml:space="preserve"> udio šuma, što se takođe može iskoristiti za dalji razvoj drvoprerade </w:t>
      </w:r>
      <w:r w:rsidR="007C1308" w:rsidRPr="007C1308">
        <w:rPr>
          <w:highlight w:val="cyan"/>
        </w:rPr>
        <w:t xml:space="preserve">koja se izdvaja kao jedan od vodećih sektora lokalne privrede. </w:t>
      </w:r>
    </w:p>
    <w:p w14:paraId="09CCC737" w14:textId="222F1583" w:rsidR="00084612" w:rsidRPr="007C1308" w:rsidRDefault="007C1308" w:rsidP="00084612">
      <w:pPr>
        <w:jc w:val="both"/>
        <w:rPr>
          <w:highlight w:val="cyan"/>
        </w:rPr>
      </w:pPr>
      <w:r w:rsidRPr="007C1308">
        <w:rPr>
          <w:highlight w:val="cyan"/>
        </w:rPr>
        <w:lastRenderedPageBreak/>
        <w:t xml:space="preserve">Kada se posmatra </w:t>
      </w:r>
      <w:r w:rsidR="00084612" w:rsidRPr="007C1308">
        <w:rPr>
          <w:highlight w:val="cyan"/>
        </w:rPr>
        <w:t>Stanje zemljišnih resursa po bonitetnim klasama</w:t>
      </w:r>
      <w:r w:rsidRPr="007C1308">
        <w:rPr>
          <w:highlight w:val="cyan"/>
        </w:rPr>
        <w:t xml:space="preserve">, uočava se da je najviše zastupljeno zemljište V-VIII (36,1%), a potom III klase (31,7%), dok je zemljište I i II klase manje zastupljeno, što treba uzeti u obzir pri planiranju intervencija u razvoju poljoprivrede. </w:t>
      </w:r>
    </w:p>
    <w:p w14:paraId="2252EEA8" w14:textId="77777777" w:rsidR="00D851EA" w:rsidRPr="0085443D" w:rsidRDefault="00D851EA" w:rsidP="002E3109">
      <w:pPr>
        <w:autoSpaceDE w:val="0"/>
        <w:autoSpaceDN w:val="0"/>
        <w:adjustRightInd w:val="0"/>
        <w:jc w:val="both"/>
        <w:rPr>
          <w:rFonts w:ascii="Times New Roman" w:eastAsia="ArialMT" w:hAnsi="Times New Roman"/>
          <w:b/>
          <w:sz w:val="24"/>
          <w:szCs w:val="24"/>
          <w:lang w:val="sr-Cyrl-CS"/>
        </w:rPr>
      </w:pPr>
    </w:p>
    <w:p w14:paraId="629A6E8F" w14:textId="77777777" w:rsidR="00084612" w:rsidRPr="0085443D" w:rsidRDefault="00084612" w:rsidP="00084612">
      <w:pPr>
        <w:spacing w:after="80"/>
        <w:rPr>
          <w:b/>
          <w:i/>
        </w:rPr>
      </w:pPr>
      <w:r w:rsidRPr="0085443D">
        <w:rPr>
          <w:b/>
          <w:i/>
        </w:rPr>
        <w:t>Stanje šumskih ekosistema</w:t>
      </w:r>
    </w:p>
    <w:p w14:paraId="11BE0C86" w14:textId="08B6DF96" w:rsidR="00084612" w:rsidRPr="0085443D" w:rsidRDefault="007C1308" w:rsidP="007C1308">
      <w:pPr>
        <w:jc w:val="both"/>
      </w:pPr>
      <w:r w:rsidRPr="007C1308">
        <w:rPr>
          <w:highlight w:val="cyan"/>
          <w:lang w:val="sr-Cyrl-CS"/>
        </w:rPr>
        <w:t xml:space="preserve">Opština Prnjavor je </w:t>
      </w:r>
      <w:r w:rsidRPr="007C1308">
        <w:rPr>
          <w:highlight w:val="cyan"/>
        </w:rPr>
        <w:t>od</w:t>
      </w:r>
      <w:r w:rsidRPr="007C1308">
        <w:rPr>
          <w:highlight w:val="cyan"/>
          <w:lang w:val="sr-Cyrl-CS"/>
        </w:rPr>
        <w:t xml:space="preserve"> Ministarstva poljoprivrede, šumarstva i vodoprivrede 2016. godine dobila saglasnost na </w:t>
      </w:r>
      <w:r w:rsidRPr="007C1308">
        <w:rPr>
          <w:color w:val="000000"/>
          <w:highlight w:val="cyan"/>
          <w:lang w:val="sr-Cyrl-CS"/>
        </w:rPr>
        <w:t>Šumskoprivrednu osnovu za šume u privatnoj svojini na području opštine Prnjavor</w:t>
      </w:r>
      <w:r w:rsidRPr="007C1308">
        <w:rPr>
          <w:highlight w:val="cyan"/>
          <w:lang w:val="sr-Cyrl-CS"/>
        </w:rPr>
        <w:t xml:space="preserve"> za period od 2017</w:t>
      </w:r>
      <w:r w:rsidRPr="007C1308">
        <w:rPr>
          <w:highlight w:val="cyan"/>
        </w:rPr>
        <w:t xml:space="preserve"> - </w:t>
      </w:r>
      <w:r w:rsidRPr="007C1308">
        <w:rPr>
          <w:highlight w:val="cyan"/>
          <w:lang w:val="sr-Cyrl-CS"/>
        </w:rPr>
        <w:t xml:space="preserve">2026. godine. </w:t>
      </w:r>
      <w:r w:rsidR="00084612" w:rsidRPr="007C1308">
        <w:rPr>
          <w:highlight w:val="cyan"/>
          <w:lang w:val="sr-Cyrl-CS"/>
        </w:rPr>
        <w:t xml:space="preserve">Po trenutno važećoj ŠPO za </w:t>
      </w:r>
      <w:r w:rsidR="00084612" w:rsidRPr="007C1308">
        <w:rPr>
          <w:color w:val="000000"/>
          <w:highlight w:val="cyan"/>
          <w:lang w:val="sr-Cyrl-CS"/>
        </w:rPr>
        <w:t xml:space="preserve">šume u privatnoj svojini na području opštine Prnjavor u </w:t>
      </w:r>
      <w:r w:rsidR="00084612" w:rsidRPr="007C1308">
        <w:rPr>
          <w:color w:val="000000"/>
          <w:highlight w:val="cyan"/>
        </w:rPr>
        <w:t>p</w:t>
      </w:r>
      <w:r w:rsidR="00084612" w:rsidRPr="007C1308">
        <w:rPr>
          <w:color w:val="000000"/>
          <w:highlight w:val="cyan"/>
          <w:lang w:val="sr-Cyrl-CS"/>
        </w:rPr>
        <w:t xml:space="preserve">rivatnom posjedu evidentirane su šume u ukupnoj površini od </w:t>
      </w:r>
      <w:r w:rsidR="00084612" w:rsidRPr="007C1308">
        <w:rPr>
          <w:color w:val="000000"/>
          <w:highlight w:val="cyan"/>
        </w:rPr>
        <w:t>7.456,66 ha≈7.457 ha.</w:t>
      </w:r>
    </w:p>
    <w:p w14:paraId="42F33863" w14:textId="77777777" w:rsidR="00084612" w:rsidRPr="0085443D" w:rsidRDefault="00084612" w:rsidP="00084612">
      <w:pPr>
        <w:pStyle w:val="NormalWeb"/>
        <w:shd w:val="clear" w:color="auto" w:fill="FFFFFF"/>
        <w:spacing w:before="150" w:beforeAutospacing="0" w:after="225" w:afterAutospacing="0" w:line="243" w:lineRule="atLeast"/>
        <w:jc w:val="both"/>
        <w:rPr>
          <w:rFonts w:asciiTheme="minorHAnsi" w:hAnsiTheme="minorHAnsi" w:cstheme="minorHAnsi"/>
          <w:b/>
          <w:sz w:val="22"/>
          <w:lang w:val="sr-Cyrl-BA"/>
        </w:rPr>
      </w:pPr>
      <w:r w:rsidRPr="0085443D">
        <w:rPr>
          <w:rFonts w:asciiTheme="minorHAnsi" w:hAnsiTheme="minorHAnsi" w:cstheme="minorHAnsi"/>
          <w:sz w:val="22"/>
          <w:lang w:val="sr-Cyrl-BA"/>
        </w:rPr>
        <w:t xml:space="preserve">Odlukom o davanju saglasnosti na prijedlog JPŠ „Šume Republike Srpske“ a.d. Sokolac, ŠG Gradiška o stavljanju pod zaštitu sastojina koje imaju atribute šuma visoke zaštitne vrijednosti i ostalih objekata visoke zaštitne vrijednosti („Službeni glasnik opštine Prnjavor“, broj 17/07) određene su </w:t>
      </w:r>
      <w:r w:rsidRPr="0085443D">
        <w:rPr>
          <w:rFonts w:asciiTheme="minorHAnsi" w:hAnsiTheme="minorHAnsi" w:cstheme="minorHAnsi"/>
          <w:b/>
          <w:sz w:val="22"/>
          <w:lang w:val="sr-Cyrl-BA"/>
        </w:rPr>
        <w:t>šume visoke zaštitne vrijednosti na području opštine Prnjavor.</w:t>
      </w:r>
    </w:p>
    <w:p w14:paraId="07C7014A" w14:textId="77777777" w:rsidR="00084612" w:rsidRPr="0085443D" w:rsidRDefault="00084612" w:rsidP="009901CE">
      <w:pPr>
        <w:pStyle w:val="NormalWeb"/>
        <w:numPr>
          <w:ilvl w:val="0"/>
          <w:numId w:val="5"/>
        </w:numPr>
        <w:shd w:val="clear" w:color="auto" w:fill="FFFFFF"/>
        <w:spacing w:before="0" w:beforeAutospacing="0" w:after="0" w:afterAutospacing="0" w:line="20" w:lineRule="atLeast"/>
        <w:ind w:left="284" w:hanging="284"/>
        <w:jc w:val="both"/>
        <w:rPr>
          <w:rFonts w:asciiTheme="minorHAnsi" w:hAnsiTheme="minorHAnsi" w:cstheme="minorHAnsi"/>
          <w:sz w:val="22"/>
          <w:lang w:val="sr-Cyrl-BA"/>
        </w:rPr>
      </w:pPr>
      <w:r w:rsidRPr="0085443D">
        <w:rPr>
          <w:rFonts w:asciiTheme="minorHAnsi" w:hAnsiTheme="minorHAnsi" w:cstheme="minorHAnsi"/>
          <w:sz w:val="22"/>
          <w:lang w:val="sr-Cyrl-BA"/>
        </w:rPr>
        <w:t>Park šuma Borik, K.O. Prnjavor, PL 225, šuma visoke zaštitne vrijednosti kojom gazduje „Šume Republike Srpske“ a.d. Sokolac – Šumska uprava Prnjavor i od velikog je značaja za lokalnu zajednicu;</w:t>
      </w:r>
    </w:p>
    <w:p w14:paraId="788926C2" w14:textId="77777777" w:rsidR="00084612" w:rsidRPr="0085443D" w:rsidRDefault="00084612" w:rsidP="009901CE">
      <w:pPr>
        <w:pStyle w:val="NormalWeb"/>
        <w:numPr>
          <w:ilvl w:val="0"/>
          <w:numId w:val="5"/>
        </w:numPr>
        <w:shd w:val="clear" w:color="auto" w:fill="FFFFFF"/>
        <w:spacing w:before="0" w:beforeAutospacing="0" w:after="0" w:afterAutospacing="0" w:line="20" w:lineRule="atLeast"/>
        <w:ind w:left="284" w:hanging="284"/>
        <w:jc w:val="both"/>
        <w:rPr>
          <w:rFonts w:asciiTheme="minorHAnsi" w:hAnsiTheme="minorHAnsi" w:cstheme="minorHAnsi"/>
          <w:sz w:val="22"/>
          <w:lang w:val="sr-Cyrl-BA"/>
        </w:rPr>
      </w:pPr>
      <w:r w:rsidRPr="0085443D">
        <w:rPr>
          <w:rFonts w:asciiTheme="minorHAnsi" w:hAnsiTheme="minorHAnsi" w:cstheme="minorHAnsi"/>
          <w:sz w:val="22"/>
          <w:lang w:val="sr-Cyrl-BA"/>
        </w:rPr>
        <w:t xml:space="preserve">Kompleks šumskog zemljišta G.J „Gumjera-Careva Gora“, površina odjela je 91,50 ha – klase – visoke šume bukve brdskog pojasa na euteričnim smeđim </w:t>
      </w:r>
      <w:r w:rsidRPr="0085443D">
        <w:rPr>
          <w:rFonts w:asciiTheme="minorHAnsi" w:hAnsiTheme="minorHAnsi" w:cstheme="minorHAnsi"/>
          <w:sz w:val="22"/>
          <w:shd w:val="clear" w:color="auto" w:fill="FFFFFF"/>
          <w:lang w:val="sr-Cyrl-BA"/>
        </w:rPr>
        <w:t xml:space="preserve">zemljištima </w:t>
      </w:r>
      <w:r w:rsidRPr="0085443D">
        <w:rPr>
          <w:rFonts w:asciiTheme="minorHAnsi" w:hAnsiTheme="minorHAnsi" w:cstheme="minorHAnsi"/>
          <w:sz w:val="22"/>
          <w:lang w:val="sr-Cyrl-BA"/>
        </w:rPr>
        <w:t>na stijenama fliša;</w:t>
      </w:r>
    </w:p>
    <w:p w14:paraId="40A0C721" w14:textId="77777777" w:rsidR="00084612" w:rsidRPr="0085443D" w:rsidRDefault="00084612" w:rsidP="009901CE">
      <w:pPr>
        <w:pStyle w:val="NormalWeb"/>
        <w:numPr>
          <w:ilvl w:val="0"/>
          <w:numId w:val="5"/>
        </w:numPr>
        <w:shd w:val="clear" w:color="auto" w:fill="FFFFFF"/>
        <w:spacing w:before="0" w:beforeAutospacing="0" w:after="0" w:afterAutospacing="0" w:line="20" w:lineRule="atLeast"/>
        <w:ind w:left="284" w:hanging="284"/>
        <w:jc w:val="both"/>
        <w:rPr>
          <w:rFonts w:asciiTheme="minorHAnsi" w:hAnsiTheme="minorHAnsi" w:cstheme="minorHAnsi"/>
          <w:sz w:val="22"/>
          <w:lang w:val="sr-Cyrl-BA"/>
        </w:rPr>
      </w:pPr>
      <w:r w:rsidRPr="0085443D">
        <w:rPr>
          <w:rFonts w:asciiTheme="minorHAnsi" w:hAnsiTheme="minorHAnsi" w:cstheme="minorHAnsi"/>
          <w:sz w:val="22"/>
          <w:lang w:val="sr-Cyrl-BA"/>
        </w:rPr>
        <w:t>Kulturno istorijski spomenik „Damjanov grob“  u okviru kompleksa šumskog zemljišta G.J. „Gumjera-Careva Gora“, izdvojena na površini od 2,25 ha;</w:t>
      </w:r>
    </w:p>
    <w:p w14:paraId="73041121" w14:textId="77777777" w:rsidR="00084612" w:rsidRPr="0085443D" w:rsidRDefault="00084612" w:rsidP="009901CE">
      <w:pPr>
        <w:pStyle w:val="NormalWeb"/>
        <w:numPr>
          <w:ilvl w:val="0"/>
          <w:numId w:val="5"/>
        </w:numPr>
        <w:shd w:val="clear" w:color="auto" w:fill="FFFFFF"/>
        <w:spacing w:before="0" w:beforeAutospacing="0" w:after="0" w:afterAutospacing="0" w:line="20" w:lineRule="atLeast"/>
        <w:ind w:left="284" w:hanging="284"/>
        <w:jc w:val="both"/>
        <w:rPr>
          <w:rFonts w:asciiTheme="minorHAnsi" w:hAnsiTheme="minorHAnsi" w:cstheme="minorHAnsi"/>
          <w:sz w:val="22"/>
          <w:lang w:val="sr-Cyrl-BA"/>
        </w:rPr>
      </w:pPr>
      <w:r w:rsidRPr="0085443D">
        <w:rPr>
          <w:rFonts w:asciiTheme="minorHAnsi" w:hAnsiTheme="minorHAnsi" w:cstheme="minorHAnsi"/>
          <w:sz w:val="22"/>
          <w:lang w:val="sr-Cyrl-BA"/>
        </w:rPr>
        <w:t xml:space="preserve">Turističko-rekreacioni centar „Ravno brdo“ u okviru kompleksa šumskog zemljišta G.J „Ljubić“ na površini od 18,12 ha, na nadmorskoj visini od 370-450 m, sljedećih gazdinskih klasa – visoke šume hrasta kitnjaka na pretežno plitkim zemljištima na peridotitu i serpentinitu, šume kulture crnog bora u pojasu hrastovitih šuma </w:t>
      </w:r>
      <w:r w:rsidRPr="0085443D">
        <w:rPr>
          <w:rFonts w:asciiTheme="minorHAnsi" w:hAnsiTheme="minorHAnsi" w:cstheme="minorHAnsi"/>
          <w:sz w:val="22"/>
          <w:shd w:val="clear" w:color="auto" w:fill="FFFFFF"/>
          <w:lang w:val="sr-Cyrl-BA"/>
        </w:rPr>
        <w:t>na dubokim</w:t>
      </w:r>
      <w:r w:rsidRPr="0085443D">
        <w:rPr>
          <w:rFonts w:asciiTheme="minorHAnsi" w:hAnsiTheme="minorHAnsi" w:cstheme="minorHAnsi"/>
          <w:sz w:val="22"/>
          <w:lang w:val="sr-Cyrl-BA"/>
        </w:rPr>
        <w:t xml:space="preserve"> kiselim smeđim i ilimerizovanim zemljištima na kiselim silikatnim i silikatno-karbonatnim stijenama i stalne šumske čistine;</w:t>
      </w:r>
    </w:p>
    <w:p w14:paraId="7E121E83" w14:textId="77777777" w:rsidR="00084612" w:rsidRPr="0085443D" w:rsidRDefault="00084612" w:rsidP="009901CE">
      <w:pPr>
        <w:pStyle w:val="NormalWeb"/>
        <w:numPr>
          <w:ilvl w:val="0"/>
          <w:numId w:val="5"/>
        </w:numPr>
        <w:shd w:val="clear" w:color="auto" w:fill="FFFFFF"/>
        <w:spacing w:before="0" w:beforeAutospacing="0" w:after="0" w:afterAutospacing="0" w:line="20" w:lineRule="atLeast"/>
        <w:ind w:left="284" w:hanging="284"/>
        <w:jc w:val="both"/>
        <w:rPr>
          <w:rFonts w:asciiTheme="minorHAnsi" w:hAnsiTheme="minorHAnsi" w:cstheme="minorHAnsi"/>
          <w:sz w:val="22"/>
          <w:lang w:val="sr-Cyrl-BA"/>
        </w:rPr>
      </w:pPr>
      <w:r w:rsidRPr="0085443D">
        <w:rPr>
          <w:rFonts w:asciiTheme="minorHAnsi" w:hAnsiTheme="minorHAnsi" w:cstheme="minorHAnsi"/>
          <w:sz w:val="22"/>
          <w:lang w:val="sr-Cyrl-BA"/>
        </w:rPr>
        <w:t>Izvorište ljekovite vode „Smrdelj“ u okviru kompleksa šumskog zemljišta G.J. „Velika Ukrina“, na nadmorskoj visini od 180-230 m, površine 8,50 ha, sljedećih gazdinskih klasa – visoke sekundarne šume bukve u pojasu šuma bukve i jele na dubokim kiselim, smeđim i ilimerizovanim zemljištima na kiselim silikatnim stijenama i visoke šume hrasta kitnjaka i bukve na dubokim kiselim smeđim i ilimerizovanim zemljištima na kiselim silikatnim i silikatno karbonatnim stijenama. Ljekovitost vode se ogleda u liječenju kožnih bolesti;</w:t>
      </w:r>
    </w:p>
    <w:p w14:paraId="18298DCA" w14:textId="77777777" w:rsidR="00084612" w:rsidRPr="0085443D" w:rsidRDefault="00084612" w:rsidP="009901CE">
      <w:pPr>
        <w:pStyle w:val="NormalWeb"/>
        <w:numPr>
          <w:ilvl w:val="0"/>
          <w:numId w:val="5"/>
        </w:numPr>
        <w:shd w:val="clear" w:color="auto" w:fill="FFFFFF"/>
        <w:spacing w:before="0" w:beforeAutospacing="0" w:after="0" w:afterAutospacing="0" w:line="20" w:lineRule="atLeast"/>
        <w:ind w:left="284" w:hanging="284"/>
        <w:jc w:val="both"/>
        <w:rPr>
          <w:rFonts w:asciiTheme="minorHAnsi" w:hAnsiTheme="minorHAnsi" w:cstheme="minorHAnsi"/>
          <w:sz w:val="22"/>
          <w:lang w:val="sr-Cyrl-BA"/>
        </w:rPr>
      </w:pPr>
      <w:r w:rsidRPr="0085443D">
        <w:rPr>
          <w:rFonts w:asciiTheme="minorHAnsi" w:hAnsiTheme="minorHAnsi" w:cstheme="minorHAnsi"/>
          <w:sz w:val="22"/>
          <w:lang w:val="sr-Cyrl-BA"/>
        </w:rPr>
        <w:t>„Neviđeni potok i sliv rijeke Kremnice“ – šuma visoke zaštitne vrijednosti izdvojena su u cilju zaštite zemljišta od erozije i zaštita izvorišta pitke vode, ukupne površine 524,32 ha u okviru G.J. „Ljubić“. Naziv „Neviđeni potok“ je dobio jer se radi o teško pristupačnim terenima, tako da samo iskreni zaljubljenici prirode mogu uživati u njegovim blagodetima;</w:t>
      </w:r>
    </w:p>
    <w:p w14:paraId="0D313E26" w14:textId="77777777" w:rsidR="00084612" w:rsidRPr="0085443D" w:rsidRDefault="00084612" w:rsidP="009901CE">
      <w:pPr>
        <w:pStyle w:val="NormalWeb"/>
        <w:numPr>
          <w:ilvl w:val="0"/>
          <w:numId w:val="5"/>
        </w:numPr>
        <w:shd w:val="clear" w:color="auto" w:fill="FFFFFF"/>
        <w:spacing w:before="0" w:beforeAutospacing="0" w:after="0" w:afterAutospacing="0" w:line="20" w:lineRule="atLeast"/>
        <w:ind w:left="284" w:hanging="284"/>
        <w:jc w:val="both"/>
        <w:rPr>
          <w:rFonts w:asciiTheme="minorHAnsi" w:hAnsiTheme="minorHAnsi" w:cstheme="minorHAnsi"/>
          <w:sz w:val="22"/>
          <w:lang w:val="sr-Cyrl-BA"/>
        </w:rPr>
      </w:pPr>
      <w:r w:rsidRPr="0085443D">
        <w:rPr>
          <w:rFonts w:asciiTheme="minorHAnsi" w:hAnsiTheme="minorHAnsi" w:cstheme="minorHAnsi"/>
          <w:sz w:val="22"/>
          <w:lang w:val="sr-Cyrl-BA"/>
        </w:rPr>
        <w:t>Istorijski lokalitet „Kadijin hrast“, koji je smješten u G.J. „Velika Ukrina“ na samoj tromeđi šumsko privrednih područja „Gornje Vrbaskog“, „Teslićkog“ i „</w:t>
      </w:r>
      <w:r w:rsidR="00DB6FF6" w:rsidRPr="0085443D">
        <w:rPr>
          <w:rFonts w:asciiTheme="minorHAnsi" w:hAnsiTheme="minorHAnsi" w:cstheme="minorHAnsi"/>
          <w:sz w:val="22"/>
          <w:lang w:val="sr-Latn-BA"/>
        </w:rPr>
        <w:t>P</w:t>
      </w:r>
      <w:r w:rsidRPr="0085443D">
        <w:rPr>
          <w:rFonts w:asciiTheme="minorHAnsi" w:hAnsiTheme="minorHAnsi" w:cstheme="minorHAnsi"/>
          <w:sz w:val="22"/>
          <w:lang w:val="sr-Cyrl-BA"/>
        </w:rPr>
        <w:t xml:space="preserve">osavskog“. Površina lokaliteta iznosi 1,61 ha. Radi se o velikom stablu </w:t>
      </w:r>
      <w:r w:rsidRPr="0085443D">
        <w:rPr>
          <w:rFonts w:asciiTheme="minorHAnsi" w:hAnsiTheme="minorHAnsi" w:cstheme="minorHAnsi"/>
          <w:sz w:val="22"/>
          <w:shd w:val="clear" w:color="auto" w:fill="FFFFFF"/>
          <w:lang w:val="sr-Cyrl-BA"/>
        </w:rPr>
        <w:t>hrasta</w:t>
      </w:r>
      <w:r w:rsidRPr="0085443D">
        <w:rPr>
          <w:rFonts w:asciiTheme="minorHAnsi" w:hAnsiTheme="minorHAnsi" w:cstheme="minorHAnsi"/>
          <w:sz w:val="22"/>
          <w:lang w:val="sr-Cyrl-BA"/>
        </w:rPr>
        <w:t xml:space="preserve"> čija je starost nepoznata, a sam naziv govori o vremenima kadija i spahija. Hrast se nalazi u fazi odumiranja.</w:t>
      </w:r>
    </w:p>
    <w:p w14:paraId="352A0163" w14:textId="77777777" w:rsidR="00084612" w:rsidRPr="0085443D" w:rsidRDefault="00084612" w:rsidP="009901CE">
      <w:pPr>
        <w:pStyle w:val="NormalWeb"/>
        <w:numPr>
          <w:ilvl w:val="0"/>
          <w:numId w:val="5"/>
        </w:numPr>
        <w:shd w:val="clear" w:color="auto" w:fill="FFFFFF"/>
        <w:spacing w:before="0" w:beforeAutospacing="0" w:after="0" w:afterAutospacing="0" w:line="20" w:lineRule="atLeast"/>
        <w:ind w:left="284" w:hanging="284"/>
        <w:jc w:val="both"/>
        <w:rPr>
          <w:rFonts w:asciiTheme="minorHAnsi" w:hAnsiTheme="minorHAnsi" w:cstheme="minorHAnsi"/>
          <w:sz w:val="22"/>
          <w:lang w:val="sr-Cyrl-BA"/>
        </w:rPr>
      </w:pPr>
      <w:r w:rsidRPr="0085443D">
        <w:rPr>
          <w:rFonts w:asciiTheme="minorHAnsi" w:hAnsiTheme="minorHAnsi" w:cstheme="minorHAnsi"/>
          <w:sz w:val="22"/>
          <w:lang w:val="sr-Cyrl-BA"/>
        </w:rPr>
        <w:t>Izvor rijeke Borovice, izdvojeni pojas šume u cilju zaštite pitke vode u okviru G.J. „Velika Ukrina“, površine 3,95 ha. Izvor je specifičan</w:t>
      </w:r>
      <w:r w:rsidR="00DB6FF6" w:rsidRPr="0085443D">
        <w:rPr>
          <w:rFonts w:asciiTheme="minorHAnsi" w:hAnsiTheme="minorHAnsi" w:cstheme="minorHAnsi"/>
          <w:sz w:val="22"/>
          <w:lang w:val="sr-Latn-BA"/>
        </w:rPr>
        <w:t>,</w:t>
      </w:r>
      <w:r w:rsidRPr="0085443D">
        <w:rPr>
          <w:rFonts w:asciiTheme="minorHAnsi" w:hAnsiTheme="minorHAnsi" w:cstheme="minorHAnsi"/>
          <w:sz w:val="22"/>
          <w:lang w:val="sr-Cyrl-BA"/>
        </w:rPr>
        <w:t xml:space="preserve"> jer izvire jakim mlazom iz kamena.</w:t>
      </w:r>
    </w:p>
    <w:p w14:paraId="54E3BBF1" w14:textId="77777777" w:rsidR="007C1308" w:rsidRDefault="00084612" w:rsidP="009901CE">
      <w:pPr>
        <w:pStyle w:val="NormalWeb"/>
        <w:numPr>
          <w:ilvl w:val="0"/>
          <w:numId w:val="5"/>
        </w:numPr>
        <w:shd w:val="clear" w:color="auto" w:fill="FFFFFF"/>
        <w:spacing w:before="0" w:beforeAutospacing="0" w:after="0" w:afterAutospacing="0" w:line="20" w:lineRule="atLeast"/>
        <w:ind w:left="284" w:hanging="284"/>
        <w:jc w:val="both"/>
        <w:rPr>
          <w:rFonts w:asciiTheme="minorHAnsi" w:hAnsiTheme="minorHAnsi" w:cstheme="minorHAnsi"/>
          <w:sz w:val="22"/>
          <w:lang w:val="sr-Cyrl-BA"/>
        </w:rPr>
      </w:pPr>
      <w:r w:rsidRPr="0085443D">
        <w:rPr>
          <w:rFonts w:asciiTheme="minorHAnsi" w:hAnsiTheme="minorHAnsi" w:cstheme="minorHAnsi"/>
          <w:sz w:val="22"/>
          <w:lang w:val="sr-Cyrl-BA"/>
        </w:rPr>
        <w:t>Lovačka voda u okviru odjela G.J. „Velika Ukrina“, površine lokaliteta 4,10 ha, poznato kao svratište lovaca i ostalih putnika namjernika kao i slučajnih prolaznika;</w:t>
      </w:r>
    </w:p>
    <w:p w14:paraId="0C4E7627" w14:textId="4E88103C" w:rsidR="00084612" w:rsidRPr="007C1308" w:rsidRDefault="00084612" w:rsidP="009901CE">
      <w:pPr>
        <w:pStyle w:val="NormalWeb"/>
        <w:numPr>
          <w:ilvl w:val="0"/>
          <w:numId w:val="5"/>
        </w:numPr>
        <w:shd w:val="clear" w:color="auto" w:fill="FFFFFF"/>
        <w:spacing w:before="0" w:beforeAutospacing="0" w:after="0" w:afterAutospacing="0" w:line="20" w:lineRule="atLeast"/>
        <w:ind w:left="284" w:hanging="284"/>
        <w:jc w:val="both"/>
        <w:rPr>
          <w:rFonts w:asciiTheme="minorHAnsi" w:hAnsiTheme="minorHAnsi" w:cstheme="minorHAnsi"/>
          <w:sz w:val="22"/>
          <w:lang w:val="sr-Cyrl-BA"/>
        </w:rPr>
      </w:pPr>
      <w:r w:rsidRPr="007C1308">
        <w:rPr>
          <w:rFonts w:asciiTheme="minorHAnsi" w:hAnsiTheme="minorHAnsi" w:cstheme="minorHAnsi"/>
          <w:lang w:val="sr-Cyrl-BA"/>
        </w:rPr>
        <w:t>Izvor uz rijeku Šibovaču, pored šumskog kamionskog puta, izdvojeni pojas šume u cilju zaštite pitke vode, površine 1,53 ha. Od davnina ga koristi kako lokalno stanovništvo tako i šumari, lovci</w:t>
      </w:r>
      <w:r w:rsidR="00DB6FF6" w:rsidRPr="007C1308">
        <w:rPr>
          <w:rFonts w:asciiTheme="minorHAnsi" w:hAnsiTheme="minorHAnsi" w:cstheme="minorHAnsi"/>
        </w:rPr>
        <w:t>,</w:t>
      </w:r>
      <w:r w:rsidRPr="007C1308">
        <w:rPr>
          <w:rFonts w:asciiTheme="minorHAnsi" w:hAnsiTheme="minorHAnsi" w:cstheme="minorHAnsi"/>
          <w:lang w:val="sr-Cyrl-BA"/>
        </w:rPr>
        <w:t xml:space="preserve"> a i divljač.</w:t>
      </w:r>
      <w:r w:rsidRPr="007C1308">
        <w:rPr>
          <w:rFonts w:asciiTheme="minorHAnsi" w:hAnsiTheme="minorHAnsi" w:cstheme="minorHAnsi"/>
        </w:rPr>
        <w:t xml:space="preserve"> </w:t>
      </w:r>
    </w:p>
    <w:p w14:paraId="39177FD3" w14:textId="6A408281" w:rsidR="009A1EEF" w:rsidRPr="0085443D" w:rsidRDefault="007C1308" w:rsidP="008C3C51">
      <w:pPr>
        <w:pStyle w:val="NormalWeb"/>
        <w:shd w:val="clear" w:color="auto" w:fill="FFFFFF"/>
        <w:spacing w:before="150" w:beforeAutospacing="0" w:after="225" w:afterAutospacing="0" w:line="243" w:lineRule="atLeast"/>
        <w:jc w:val="both"/>
        <w:rPr>
          <w:rFonts w:eastAsia="ArialMT"/>
          <w:b/>
          <w:lang w:val="sr-Cyrl-CS"/>
        </w:rPr>
      </w:pPr>
      <w:r w:rsidRPr="008C3C51">
        <w:rPr>
          <w:rFonts w:asciiTheme="minorHAnsi" w:hAnsiTheme="minorHAnsi" w:cstheme="minorHAnsi"/>
          <w:sz w:val="22"/>
          <w:highlight w:val="cyan"/>
          <w:lang w:val="sr-Cyrl-BA"/>
        </w:rPr>
        <w:lastRenderedPageBreak/>
        <w:t>Imajući u vidu značaj šuma za razvoj lokalne privrede, u narednom periodu je potrebno obezbijediti zaštitu šumskih bogatstava</w:t>
      </w:r>
      <w:r w:rsidRPr="008C3C51">
        <w:rPr>
          <w:rFonts w:asciiTheme="minorHAnsi" w:hAnsiTheme="minorHAnsi" w:cstheme="minorHAnsi"/>
          <w:sz w:val="22"/>
          <w:highlight w:val="cyan"/>
          <w:lang w:val="sr-Latn-BA"/>
        </w:rPr>
        <w:t xml:space="preserve">, uz racionalnu i plansku eksploataciju šume u područjima gdje je to planskom dokumentacijom predviđeno, te </w:t>
      </w:r>
      <w:r w:rsidR="008C3C51" w:rsidRPr="008C3C51">
        <w:rPr>
          <w:rFonts w:asciiTheme="minorHAnsi" w:hAnsiTheme="minorHAnsi" w:cstheme="minorHAnsi"/>
          <w:sz w:val="22"/>
          <w:highlight w:val="cyan"/>
          <w:lang w:val="sr-Latn-BA"/>
        </w:rPr>
        <w:t xml:space="preserve">osigurati adekvatan tretman </w:t>
      </w:r>
      <w:r w:rsidR="008C3C51" w:rsidRPr="008C3C51">
        <w:rPr>
          <w:rFonts w:asciiTheme="minorHAnsi" w:hAnsiTheme="minorHAnsi" w:cstheme="minorHAnsi"/>
          <w:sz w:val="22"/>
          <w:highlight w:val="cyan"/>
          <w:lang w:val="sr-Cyrl-BA"/>
        </w:rPr>
        <w:t>šuma visoke zaštitne vrijednosti</w:t>
      </w:r>
      <w:r w:rsidR="008C3C51" w:rsidRPr="008C3C51">
        <w:rPr>
          <w:rFonts w:asciiTheme="minorHAnsi" w:hAnsiTheme="minorHAnsi" w:cstheme="minorHAnsi"/>
          <w:sz w:val="22"/>
          <w:highlight w:val="cyan"/>
          <w:lang w:val="sr-Latn-BA"/>
        </w:rPr>
        <w:t>.</w:t>
      </w:r>
    </w:p>
    <w:p w14:paraId="558F8A55" w14:textId="77777777" w:rsidR="00084612" w:rsidRPr="0085443D" w:rsidRDefault="00084612" w:rsidP="00084612">
      <w:pPr>
        <w:spacing w:after="80"/>
        <w:rPr>
          <w:b/>
          <w:i/>
        </w:rPr>
      </w:pPr>
      <w:r w:rsidRPr="0085443D">
        <w:rPr>
          <w:b/>
          <w:i/>
        </w:rPr>
        <w:t>Upravljanje prostorom i okolišom, stanje gradskog zelenila</w:t>
      </w:r>
    </w:p>
    <w:p w14:paraId="7EBAC00F" w14:textId="77777777" w:rsidR="00084612" w:rsidRPr="0085443D" w:rsidRDefault="00084612" w:rsidP="00084612">
      <w:pPr>
        <w:widowControl w:val="0"/>
        <w:autoSpaceDE w:val="0"/>
        <w:autoSpaceDN w:val="0"/>
        <w:adjustRightInd w:val="0"/>
        <w:jc w:val="both"/>
        <w:rPr>
          <w:rFonts w:cs="Calibri"/>
        </w:rPr>
      </w:pPr>
      <w:r w:rsidRPr="0085443D">
        <w:rPr>
          <w:rFonts w:cs="Calibri"/>
        </w:rPr>
        <w:t>Ključni problemi identifikovani u okviru LEAP-a u ovoj oblasti su:</w:t>
      </w:r>
    </w:p>
    <w:p w14:paraId="5D66EFD7" w14:textId="77777777" w:rsidR="00084612" w:rsidRPr="0085443D" w:rsidRDefault="00084612" w:rsidP="009901CE">
      <w:pPr>
        <w:pStyle w:val="ListParagraph"/>
        <w:widowControl w:val="0"/>
        <w:numPr>
          <w:ilvl w:val="0"/>
          <w:numId w:val="11"/>
        </w:numPr>
        <w:autoSpaceDE w:val="0"/>
        <w:autoSpaceDN w:val="0"/>
        <w:adjustRightInd w:val="0"/>
        <w:spacing w:before="0" w:line="240" w:lineRule="auto"/>
        <w:rPr>
          <w:rFonts w:cs="Calibri"/>
        </w:rPr>
      </w:pPr>
      <w:r w:rsidRPr="0085443D">
        <w:rPr>
          <w:rFonts w:cs="Calibri"/>
          <w:lang w:val="sr-Cyrl-RS"/>
        </w:rPr>
        <w:t>B</w:t>
      </w:r>
      <w:r w:rsidRPr="0085443D">
        <w:rPr>
          <w:rFonts w:cs="Calibri"/>
        </w:rPr>
        <w:t>espravna gradnja;</w:t>
      </w:r>
    </w:p>
    <w:p w14:paraId="510BF6A0" w14:textId="77777777" w:rsidR="00084612" w:rsidRPr="0085443D" w:rsidRDefault="00084612" w:rsidP="009901CE">
      <w:pPr>
        <w:widowControl w:val="0"/>
        <w:numPr>
          <w:ilvl w:val="0"/>
          <w:numId w:val="11"/>
        </w:numPr>
        <w:autoSpaceDE w:val="0"/>
        <w:autoSpaceDN w:val="0"/>
        <w:adjustRightInd w:val="0"/>
        <w:jc w:val="both"/>
        <w:rPr>
          <w:rFonts w:cs="Calibri"/>
        </w:rPr>
      </w:pPr>
      <w:r w:rsidRPr="0085443D">
        <w:rPr>
          <w:rFonts w:cs="Calibri"/>
          <w:lang w:val="sr-Cyrl-RS"/>
        </w:rPr>
        <w:t>R</w:t>
      </w:r>
      <w:r w:rsidRPr="0085443D">
        <w:rPr>
          <w:rFonts w:cs="Calibri"/>
        </w:rPr>
        <w:t>azvoj u oblasti prostornog planiranja se sporo odvija;</w:t>
      </w:r>
    </w:p>
    <w:p w14:paraId="53014B10" w14:textId="77777777" w:rsidR="00084612" w:rsidRPr="0085443D" w:rsidRDefault="00084612" w:rsidP="009901CE">
      <w:pPr>
        <w:widowControl w:val="0"/>
        <w:numPr>
          <w:ilvl w:val="0"/>
          <w:numId w:val="11"/>
        </w:numPr>
        <w:autoSpaceDE w:val="0"/>
        <w:autoSpaceDN w:val="0"/>
        <w:adjustRightInd w:val="0"/>
        <w:jc w:val="both"/>
        <w:rPr>
          <w:rFonts w:cs="Calibri"/>
        </w:rPr>
      </w:pPr>
      <w:r w:rsidRPr="0085443D">
        <w:rPr>
          <w:rFonts w:cs="Calibri"/>
          <w:lang w:val="sr-Cyrl-RS"/>
        </w:rPr>
        <w:t>N</w:t>
      </w:r>
      <w:r w:rsidRPr="0085443D">
        <w:rPr>
          <w:rFonts w:cs="Calibri"/>
        </w:rPr>
        <w:t>epostojanje informacionog sistema;</w:t>
      </w:r>
    </w:p>
    <w:p w14:paraId="73A99713" w14:textId="77777777" w:rsidR="00084612" w:rsidRPr="0085443D" w:rsidRDefault="00084612" w:rsidP="009901CE">
      <w:pPr>
        <w:pStyle w:val="ListParagraph"/>
        <w:numPr>
          <w:ilvl w:val="0"/>
          <w:numId w:val="11"/>
        </w:numPr>
        <w:spacing w:before="0" w:line="240" w:lineRule="auto"/>
        <w:rPr>
          <w:b/>
          <w:i/>
        </w:rPr>
      </w:pPr>
      <w:r w:rsidRPr="0085443D">
        <w:rPr>
          <w:rFonts w:cs="Calibri"/>
          <w:lang w:val="sr-Cyrl-RS"/>
        </w:rPr>
        <w:t>N</w:t>
      </w:r>
      <w:r w:rsidRPr="0085443D">
        <w:rPr>
          <w:rFonts w:cs="Calibri"/>
        </w:rPr>
        <w:t>edostatak finansijskih sredstava za implementaciju savremenih informacionih tehnologija i izradu dokumenata prostornog planiranja.</w:t>
      </w:r>
    </w:p>
    <w:p w14:paraId="4C15B42E" w14:textId="77777777" w:rsidR="00084612" w:rsidRPr="0085443D" w:rsidRDefault="00084612" w:rsidP="002E3109">
      <w:pPr>
        <w:autoSpaceDE w:val="0"/>
        <w:autoSpaceDN w:val="0"/>
        <w:adjustRightInd w:val="0"/>
        <w:jc w:val="both"/>
        <w:rPr>
          <w:rFonts w:ascii="Times New Roman" w:eastAsia="ArialMT" w:hAnsi="Times New Roman"/>
          <w:b/>
          <w:sz w:val="24"/>
          <w:szCs w:val="24"/>
          <w:lang w:val="sr-Cyrl-CS"/>
        </w:rPr>
      </w:pPr>
    </w:p>
    <w:p w14:paraId="77AE2159" w14:textId="77777777" w:rsidR="00084612" w:rsidRPr="0085443D" w:rsidRDefault="00084612" w:rsidP="00084612">
      <w:pPr>
        <w:spacing w:after="80"/>
        <w:rPr>
          <w:b/>
          <w:i/>
        </w:rPr>
      </w:pPr>
      <w:r w:rsidRPr="0085443D">
        <w:rPr>
          <w:b/>
          <w:i/>
        </w:rPr>
        <w:t>Zaštita prirodnog i kulturno-istorijskog naslijeđa</w:t>
      </w:r>
    </w:p>
    <w:p w14:paraId="6E424EF6" w14:textId="77777777" w:rsidR="00084612" w:rsidRPr="0085443D" w:rsidRDefault="00084612" w:rsidP="00084612">
      <w:pPr>
        <w:widowControl w:val="0"/>
        <w:autoSpaceDE w:val="0"/>
        <w:autoSpaceDN w:val="0"/>
        <w:adjustRightInd w:val="0"/>
        <w:jc w:val="both"/>
      </w:pPr>
      <w:r w:rsidRPr="0085443D">
        <w:rPr>
          <w:rFonts w:cs="Calibri"/>
        </w:rPr>
        <w:t xml:space="preserve">Prema Registru zaštićenih prirodnih dobara Republičkog zavoda za zaštitu kulturno-istorijskog i prirodnog nasljeđa Republike Srpske, na području opštine Prnjavor ne postoje registrovana zaštićena područja na nacionalnom nivou kao ni </w:t>
      </w:r>
      <w:r w:rsidRPr="0085443D">
        <w:rPr>
          <w:bCs/>
        </w:rPr>
        <w:t>zaštićeni objekti geonasljeđa</w:t>
      </w:r>
      <w:r w:rsidRPr="0085443D">
        <w:t>.</w:t>
      </w:r>
    </w:p>
    <w:p w14:paraId="00DC287C" w14:textId="77777777" w:rsidR="00084612" w:rsidRPr="0085443D" w:rsidRDefault="00084612" w:rsidP="00084612">
      <w:pPr>
        <w:widowControl w:val="0"/>
        <w:autoSpaceDE w:val="0"/>
        <w:autoSpaceDN w:val="0"/>
        <w:adjustRightInd w:val="0"/>
        <w:jc w:val="both"/>
        <w:rPr>
          <w:rFonts w:cs="Calibri"/>
        </w:rPr>
      </w:pPr>
      <w:r w:rsidRPr="0085443D">
        <w:rPr>
          <w:rFonts w:cs="Calibri"/>
        </w:rPr>
        <w:t>Konstatuje se da je pritisak na biljni i životinjski svijet sve izraženiji i intenzivniji kroz pretvaranje poljoprivrednog u građevinsko zemljište, ekspanziju naselja i izgradnju stambenih i privrednih objekata, izgradnju auto</w:t>
      </w:r>
      <w:r w:rsidR="004B4D07" w:rsidRPr="0085443D">
        <w:rPr>
          <w:rFonts w:cs="Calibri"/>
        </w:rPr>
        <w:t>-</w:t>
      </w:r>
      <w:r w:rsidRPr="0085443D">
        <w:rPr>
          <w:rFonts w:cs="Calibri"/>
        </w:rPr>
        <w:t>puta Banja Luka-Doboj i drugih infrastrukturnih objekata.</w:t>
      </w:r>
    </w:p>
    <w:p w14:paraId="4D152D7A" w14:textId="77777777" w:rsidR="006072F7" w:rsidRPr="006072F7" w:rsidRDefault="006072F7" w:rsidP="006072F7">
      <w:pPr>
        <w:widowControl w:val="0"/>
        <w:autoSpaceDE w:val="0"/>
        <w:autoSpaceDN w:val="0"/>
        <w:adjustRightInd w:val="0"/>
        <w:jc w:val="both"/>
      </w:pPr>
      <w:r w:rsidRPr="006072F7">
        <w:rPr>
          <w:rFonts w:cs="Calibri"/>
          <w:highlight w:val="cyan"/>
        </w:rPr>
        <w:t>Zelenih površina je ukupno 22.854 m</w:t>
      </w:r>
      <w:r w:rsidRPr="006072F7">
        <w:rPr>
          <w:rFonts w:cs="Calibri"/>
          <w:highlight w:val="cyan"/>
          <w:vertAlign w:val="superscript"/>
        </w:rPr>
        <w:t>2</w:t>
      </w:r>
      <w:r w:rsidRPr="006072F7">
        <w:rPr>
          <w:rFonts w:cs="Calibri"/>
          <w:highlight w:val="cyan"/>
        </w:rPr>
        <w:t>, odnosno nije bilo značajnijih promjena u odnosu na prethodni period implementacije strategije, obzirom da nije bilo gradnje na zelenim površinama.</w:t>
      </w:r>
    </w:p>
    <w:p w14:paraId="28077C90" w14:textId="4E499953" w:rsidR="00084612" w:rsidRPr="0085443D" w:rsidRDefault="00084612" w:rsidP="00084612">
      <w:pPr>
        <w:widowControl w:val="0"/>
        <w:autoSpaceDE w:val="0"/>
        <w:autoSpaceDN w:val="0"/>
        <w:adjustRightInd w:val="0"/>
        <w:jc w:val="both"/>
        <w:rPr>
          <w:rFonts w:cs="Calibri"/>
        </w:rPr>
      </w:pPr>
      <w:r w:rsidRPr="0085443D">
        <w:rPr>
          <w:rFonts w:cs="Calibri"/>
        </w:rPr>
        <w:t>Prirodna rijetkost na teritoriji opštine Prnjavor je rijedak fenomen poznat kao „Ukrinski cvijet“. Za rijeku Ukrinu karakteristična je fauna vodenih insekata koja se odlikuje prisustvom vrsta iz roda Ephemeroptera (vodeni cvijet). Ovaj izuzetno rijedak fenomen cvjetanja vode, predstavlja veliko prirodno bogatstvo, koje bi u što skorijem periodu trebalo staviti pod program zaštite od strane Republičkog zavoda za zaštitu kulturno-istorijskog i prirodnog nasljeđa RS.</w:t>
      </w:r>
    </w:p>
    <w:p w14:paraId="424264D6" w14:textId="77777777" w:rsidR="00084612" w:rsidRPr="0085443D" w:rsidRDefault="00084612" w:rsidP="002E3109">
      <w:pPr>
        <w:autoSpaceDE w:val="0"/>
        <w:autoSpaceDN w:val="0"/>
        <w:adjustRightInd w:val="0"/>
        <w:jc w:val="both"/>
        <w:rPr>
          <w:rFonts w:ascii="Times New Roman" w:eastAsia="ArialMT" w:hAnsi="Times New Roman"/>
          <w:b/>
          <w:sz w:val="24"/>
          <w:szCs w:val="24"/>
          <w:lang w:val="sr-Cyrl-CS"/>
        </w:rPr>
      </w:pPr>
    </w:p>
    <w:p w14:paraId="082330A3" w14:textId="77777777" w:rsidR="002E3109" w:rsidRPr="0085443D" w:rsidRDefault="007B3DED" w:rsidP="00760B2E">
      <w:pPr>
        <w:spacing w:after="80"/>
        <w:rPr>
          <w:b/>
          <w:i/>
        </w:rPr>
      </w:pPr>
      <w:r w:rsidRPr="0085443D">
        <w:rPr>
          <w:b/>
          <w:i/>
        </w:rPr>
        <w:t>Uticaj</w:t>
      </w:r>
      <w:r w:rsidR="002E3109" w:rsidRPr="0085443D">
        <w:rPr>
          <w:b/>
          <w:i/>
        </w:rPr>
        <w:t xml:space="preserve"> </w:t>
      </w:r>
      <w:r w:rsidRPr="0085443D">
        <w:rPr>
          <w:b/>
          <w:i/>
        </w:rPr>
        <w:t>lokalne</w:t>
      </w:r>
      <w:r w:rsidR="002E3109" w:rsidRPr="0085443D">
        <w:rPr>
          <w:b/>
          <w:i/>
        </w:rPr>
        <w:t xml:space="preserve"> </w:t>
      </w:r>
      <w:r w:rsidRPr="0085443D">
        <w:rPr>
          <w:b/>
          <w:i/>
        </w:rPr>
        <w:t>ekonomije</w:t>
      </w:r>
      <w:r w:rsidR="002E3109" w:rsidRPr="0085443D">
        <w:rPr>
          <w:b/>
          <w:i/>
        </w:rPr>
        <w:t xml:space="preserve"> </w:t>
      </w:r>
      <w:r w:rsidRPr="0085443D">
        <w:rPr>
          <w:b/>
          <w:i/>
        </w:rPr>
        <w:t>na</w:t>
      </w:r>
      <w:r w:rsidR="002E3109" w:rsidRPr="0085443D">
        <w:rPr>
          <w:b/>
          <w:i/>
        </w:rPr>
        <w:t xml:space="preserve"> </w:t>
      </w:r>
      <w:r w:rsidRPr="0085443D">
        <w:rPr>
          <w:b/>
          <w:i/>
        </w:rPr>
        <w:t>životnu</w:t>
      </w:r>
      <w:r w:rsidR="002E3109" w:rsidRPr="0085443D">
        <w:rPr>
          <w:b/>
          <w:i/>
        </w:rPr>
        <w:t xml:space="preserve"> </w:t>
      </w:r>
      <w:r w:rsidRPr="0085443D">
        <w:rPr>
          <w:b/>
          <w:i/>
        </w:rPr>
        <w:t>sredinu</w:t>
      </w:r>
      <w:r w:rsidR="00084612" w:rsidRPr="0085443D">
        <w:rPr>
          <w:b/>
          <w:i/>
        </w:rPr>
        <w:t xml:space="preserve"> i javno zdravlje</w:t>
      </w:r>
    </w:p>
    <w:p w14:paraId="490D9290" w14:textId="77777777" w:rsidR="002E3109" w:rsidRPr="0085443D" w:rsidRDefault="007B3DED" w:rsidP="00760B2E">
      <w:pPr>
        <w:widowControl w:val="0"/>
        <w:overflowPunct w:val="0"/>
        <w:autoSpaceDE w:val="0"/>
        <w:autoSpaceDN w:val="0"/>
        <w:adjustRightInd w:val="0"/>
        <w:jc w:val="both"/>
        <w:rPr>
          <w:rFonts w:ascii="Times New Roman" w:hAnsi="Times New Roman"/>
          <w:sz w:val="24"/>
          <w:szCs w:val="24"/>
          <w:lang w:val="sr-Cyrl-RS"/>
        </w:rPr>
      </w:pPr>
      <w:r w:rsidRPr="0085443D">
        <w:rPr>
          <w:rFonts w:cs="Calibri"/>
        </w:rPr>
        <w:t>Uticaj</w:t>
      </w:r>
      <w:r w:rsidR="002E3109" w:rsidRPr="0085443D">
        <w:rPr>
          <w:rFonts w:cs="Calibri"/>
        </w:rPr>
        <w:t xml:space="preserve"> </w:t>
      </w:r>
      <w:r w:rsidRPr="0085443D">
        <w:rPr>
          <w:rFonts w:cs="Calibri"/>
        </w:rPr>
        <w:t>lokalne</w:t>
      </w:r>
      <w:r w:rsidR="002E3109" w:rsidRPr="0085443D">
        <w:rPr>
          <w:rFonts w:cs="Calibri"/>
        </w:rPr>
        <w:t xml:space="preserve"> </w:t>
      </w:r>
      <w:r w:rsidRPr="0085443D">
        <w:rPr>
          <w:rFonts w:cs="Calibri"/>
        </w:rPr>
        <w:t>ekonomije</w:t>
      </w:r>
      <w:r w:rsidR="002E3109" w:rsidRPr="0085443D">
        <w:rPr>
          <w:rFonts w:cs="Calibri"/>
        </w:rPr>
        <w:t xml:space="preserve"> </w:t>
      </w:r>
      <w:r w:rsidRPr="0085443D">
        <w:rPr>
          <w:rFonts w:cs="Calibri"/>
        </w:rPr>
        <w:t>usko</w:t>
      </w:r>
      <w:r w:rsidR="002E3109" w:rsidRPr="0085443D">
        <w:rPr>
          <w:rFonts w:cs="Calibri"/>
        </w:rPr>
        <w:t xml:space="preserve"> </w:t>
      </w:r>
      <w:r w:rsidRPr="0085443D">
        <w:rPr>
          <w:rFonts w:cs="Calibri"/>
        </w:rPr>
        <w:t>je</w:t>
      </w:r>
      <w:r w:rsidR="002E3109" w:rsidRPr="0085443D">
        <w:rPr>
          <w:rFonts w:cs="Calibri"/>
        </w:rPr>
        <w:t xml:space="preserve"> </w:t>
      </w:r>
      <w:r w:rsidRPr="0085443D">
        <w:rPr>
          <w:rFonts w:cs="Calibri"/>
        </w:rPr>
        <w:t>povezan</w:t>
      </w:r>
      <w:r w:rsidR="002E3109" w:rsidRPr="0085443D">
        <w:rPr>
          <w:rFonts w:cs="Calibri"/>
        </w:rPr>
        <w:t xml:space="preserve"> </w:t>
      </w:r>
      <w:r w:rsidRPr="0085443D">
        <w:rPr>
          <w:rFonts w:cs="Calibri"/>
        </w:rPr>
        <w:t>odlaganjem</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konačnim</w:t>
      </w:r>
      <w:r w:rsidR="002E3109" w:rsidRPr="0085443D">
        <w:rPr>
          <w:rFonts w:cs="Calibri"/>
        </w:rPr>
        <w:t xml:space="preserve"> </w:t>
      </w:r>
      <w:r w:rsidRPr="0085443D">
        <w:rPr>
          <w:rFonts w:cs="Calibri"/>
        </w:rPr>
        <w:t>zbrinjavanjem</w:t>
      </w:r>
      <w:r w:rsidR="002E3109" w:rsidRPr="0085443D">
        <w:rPr>
          <w:rFonts w:cs="Calibri"/>
        </w:rPr>
        <w:t xml:space="preserve"> </w:t>
      </w:r>
      <w:r w:rsidRPr="0085443D">
        <w:rPr>
          <w:rFonts w:cs="Calibri"/>
        </w:rPr>
        <w:t>industrijskog</w:t>
      </w:r>
      <w:r w:rsidR="002E3109" w:rsidRPr="0085443D">
        <w:rPr>
          <w:rFonts w:cs="Calibri"/>
        </w:rPr>
        <w:t xml:space="preserve"> </w:t>
      </w:r>
      <w:r w:rsidRPr="0085443D">
        <w:rPr>
          <w:rFonts w:cs="Calibri"/>
        </w:rPr>
        <w:t>otpada</w:t>
      </w:r>
      <w:r w:rsidR="002E3109" w:rsidRPr="0085443D">
        <w:rPr>
          <w:rFonts w:cs="Calibri"/>
        </w:rPr>
        <w:t xml:space="preserve">, </w:t>
      </w:r>
      <w:r w:rsidRPr="0085443D">
        <w:rPr>
          <w:rFonts w:cs="Calibri"/>
        </w:rPr>
        <w:t>statusom</w:t>
      </w:r>
      <w:r w:rsidR="002E3109" w:rsidRPr="0085443D">
        <w:rPr>
          <w:rFonts w:cs="Calibri"/>
        </w:rPr>
        <w:t xml:space="preserve"> </w:t>
      </w:r>
      <w:r w:rsidRPr="0085443D">
        <w:rPr>
          <w:rFonts w:cs="Calibri"/>
        </w:rPr>
        <w:t>kvaliteta</w:t>
      </w:r>
      <w:r w:rsidR="002E3109" w:rsidRPr="0085443D">
        <w:rPr>
          <w:rFonts w:cs="Calibri"/>
        </w:rPr>
        <w:t xml:space="preserve"> </w:t>
      </w:r>
      <w:r w:rsidRPr="0085443D">
        <w:rPr>
          <w:rFonts w:cs="Calibri"/>
        </w:rPr>
        <w:t>vazduha</w:t>
      </w:r>
      <w:r w:rsidR="002E3109" w:rsidRPr="0085443D">
        <w:rPr>
          <w:rFonts w:cs="Calibri"/>
        </w:rPr>
        <w:t xml:space="preserve">, </w:t>
      </w:r>
      <w:r w:rsidRPr="0085443D">
        <w:rPr>
          <w:rFonts w:cs="Calibri"/>
        </w:rPr>
        <w:t>emisijom</w:t>
      </w:r>
      <w:r w:rsidR="002E3109" w:rsidRPr="0085443D">
        <w:rPr>
          <w:rFonts w:cs="Calibri"/>
        </w:rPr>
        <w:t xml:space="preserve"> </w:t>
      </w:r>
      <w:r w:rsidRPr="0085443D">
        <w:rPr>
          <w:rFonts w:cs="Calibri"/>
        </w:rPr>
        <w:t>buke</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vibracija</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upravljanjem</w:t>
      </w:r>
      <w:r w:rsidR="002E3109" w:rsidRPr="0085443D">
        <w:rPr>
          <w:rFonts w:cs="Calibri"/>
        </w:rPr>
        <w:t xml:space="preserve"> </w:t>
      </w:r>
      <w:r w:rsidRPr="0085443D">
        <w:rPr>
          <w:rFonts w:cs="Calibri"/>
        </w:rPr>
        <w:t>rizicima</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akcidentnim</w:t>
      </w:r>
      <w:r w:rsidR="002E3109" w:rsidRPr="0085443D">
        <w:rPr>
          <w:rFonts w:cs="Calibri"/>
        </w:rPr>
        <w:t xml:space="preserve"> </w:t>
      </w:r>
      <w:r w:rsidRPr="0085443D">
        <w:rPr>
          <w:rFonts w:cs="Calibri"/>
        </w:rPr>
        <w:t>situacijama</w:t>
      </w:r>
      <w:r w:rsidR="002E3109" w:rsidRPr="0085443D">
        <w:rPr>
          <w:rFonts w:cs="Calibri"/>
        </w:rPr>
        <w:t xml:space="preserve">. </w:t>
      </w:r>
    </w:p>
    <w:p w14:paraId="28BC84BE" w14:textId="77777777" w:rsidR="002E3109" w:rsidRPr="0085443D" w:rsidRDefault="007B3DED" w:rsidP="00760B2E">
      <w:pPr>
        <w:widowControl w:val="0"/>
        <w:overflowPunct w:val="0"/>
        <w:autoSpaceDE w:val="0"/>
        <w:autoSpaceDN w:val="0"/>
        <w:adjustRightInd w:val="0"/>
        <w:jc w:val="both"/>
        <w:rPr>
          <w:rFonts w:cs="Calibri"/>
        </w:rPr>
      </w:pPr>
      <w:r w:rsidRPr="0085443D">
        <w:rPr>
          <w:rFonts w:cs="Calibri"/>
        </w:rPr>
        <w:t>Na</w:t>
      </w:r>
      <w:r w:rsidR="002E3109" w:rsidRPr="0085443D">
        <w:rPr>
          <w:rFonts w:cs="Calibri"/>
        </w:rPr>
        <w:t xml:space="preserve"> </w:t>
      </w:r>
      <w:r w:rsidRPr="0085443D">
        <w:rPr>
          <w:rFonts w:cs="Calibri"/>
        </w:rPr>
        <w:t>području</w:t>
      </w:r>
      <w:r w:rsidR="002E3109" w:rsidRPr="0085443D">
        <w:rPr>
          <w:rFonts w:cs="Calibri"/>
        </w:rPr>
        <w:t xml:space="preserve"> </w:t>
      </w:r>
      <w:r w:rsidRPr="0085443D">
        <w:rPr>
          <w:rFonts w:cs="Calibri"/>
        </w:rPr>
        <w:t>opštine</w:t>
      </w:r>
      <w:r w:rsidR="002E3109" w:rsidRPr="0085443D">
        <w:rPr>
          <w:rFonts w:cs="Calibri"/>
        </w:rPr>
        <w:t xml:space="preserve"> </w:t>
      </w:r>
      <w:r w:rsidRPr="0085443D">
        <w:rPr>
          <w:rFonts w:cs="Calibri"/>
        </w:rPr>
        <w:t>Prnjavor</w:t>
      </w:r>
      <w:r w:rsidR="002E3109" w:rsidRPr="0085443D">
        <w:rPr>
          <w:rFonts w:cs="Calibri"/>
        </w:rPr>
        <w:t xml:space="preserve"> </w:t>
      </w:r>
      <w:r w:rsidRPr="0085443D">
        <w:rPr>
          <w:rFonts w:cs="Calibri"/>
        </w:rPr>
        <w:t>egzistira</w:t>
      </w:r>
      <w:r w:rsidR="002E3109" w:rsidRPr="0085443D">
        <w:rPr>
          <w:rFonts w:cs="Calibri"/>
        </w:rPr>
        <w:t xml:space="preserve"> </w:t>
      </w:r>
      <w:r w:rsidRPr="0085443D">
        <w:rPr>
          <w:rFonts w:cs="Calibri"/>
        </w:rPr>
        <w:t>više</w:t>
      </w:r>
      <w:r w:rsidR="002E3109" w:rsidRPr="0085443D">
        <w:rPr>
          <w:rFonts w:cs="Calibri"/>
        </w:rPr>
        <w:t xml:space="preserve"> </w:t>
      </w:r>
      <w:r w:rsidRPr="0085443D">
        <w:rPr>
          <w:rFonts w:cs="Calibri"/>
        </w:rPr>
        <w:t>zagađivača</w:t>
      </w:r>
      <w:r w:rsidR="002E3109" w:rsidRPr="0085443D">
        <w:rPr>
          <w:rFonts w:cs="Calibri"/>
        </w:rPr>
        <w:t xml:space="preserve"> </w:t>
      </w:r>
      <w:r w:rsidRPr="0085443D">
        <w:rPr>
          <w:rFonts w:cs="Calibri"/>
        </w:rPr>
        <w:t>iz</w:t>
      </w:r>
      <w:r w:rsidR="002E3109" w:rsidRPr="0085443D">
        <w:rPr>
          <w:rFonts w:cs="Calibri"/>
        </w:rPr>
        <w:t xml:space="preserve"> </w:t>
      </w:r>
      <w:r w:rsidRPr="0085443D">
        <w:rPr>
          <w:rFonts w:cs="Calibri"/>
        </w:rPr>
        <w:t>oblasti</w:t>
      </w:r>
      <w:r w:rsidR="002E3109" w:rsidRPr="0085443D">
        <w:rPr>
          <w:rFonts w:cs="Calibri"/>
        </w:rPr>
        <w:t xml:space="preserve">: </w:t>
      </w:r>
      <w:r w:rsidRPr="0085443D">
        <w:rPr>
          <w:rFonts w:cs="Calibri"/>
        </w:rPr>
        <w:t>proizvodnja</w:t>
      </w:r>
      <w:r w:rsidR="002E3109" w:rsidRPr="0085443D">
        <w:rPr>
          <w:rFonts w:cs="Calibri"/>
        </w:rPr>
        <w:t xml:space="preserve"> </w:t>
      </w:r>
      <w:r w:rsidRPr="0085443D">
        <w:rPr>
          <w:rFonts w:cs="Calibri"/>
        </w:rPr>
        <w:t>namještaja</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stolarije</w:t>
      </w:r>
      <w:r w:rsidR="002E3109" w:rsidRPr="0085443D">
        <w:rPr>
          <w:rFonts w:cs="Calibri"/>
        </w:rPr>
        <w:t xml:space="preserve">, </w:t>
      </w:r>
      <w:r w:rsidRPr="0085443D">
        <w:rPr>
          <w:rFonts w:cs="Calibri"/>
        </w:rPr>
        <w:t>proizvodnja</w:t>
      </w:r>
      <w:r w:rsidR="002E3109" w:rsidRPr="0085443D">
        <w:rPr>
          <w:rFonts w:cs="Calibri"/>
        </w:rPr>
        <w:t xml:space="preserve"> </w:t>
      </w:r>
      <w:r w:rsidRPr="0085443D">
        <w:rPr>
          <w:rFonts w:cs="Calibri"/>
        </w:rPr>
        <w:t>obuće</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dijelova</w:t>
      </w:r>
      <w:r w:rsidR="002E3109" w:rsidRPr="0085443D">
        <w:rPr>
          <w:rFonts w:cs="Calibri"/>
        </w:rPr>
        <w:t xml:space="preserve"> </w:t>
      </w:r>
      <w:r w:rsidRPr="0085443D">
        <w:rPr>
          <w:rFonts w:cs="Calibri"/>
        </w:rPr>
        <w:t>obuće</w:t>
      </w:r>
      <w:r w:rsidR="002E3109" w:rsidRPr="0085443D">
        <w:rPr>
          <w:rFonts w:cs="Calibri"/>
        </w:rPr>
        <w:t xml:space="preserve">, </w:t>
      </w:r>
      <w:r w:rsidRPr="0085443D">
        <w:rPr>
          <w:rFonts w:cs="Calibri"/>
        </w:rPr>
        <w:t>prehrambena</w:t>
      </w:r>
      <w:r w:rsidR="002E3109" w:rsidRPr="0085443D">
        <w:rPr>
          <w:rFonts w:cs="Calibri"/>
        </w:rPr>
        <w:t xml:space="preserve"> </w:t>
      </w:r>
      <w:r w:rsidRPr="0085443D">
        <w:rPr>
          <w:rFonts w:cs="Calibri"/>
        </w:rPr>
        <w:t>industrija</w:t>
      </w:r>
      <w:r w:rsidR="002E3109" w:rsidRPr="0085443D">
        <w:rPr>
          <w:rFonts w:cs="Calibri"/>
        </w:rPr>
        <w:t xml:space="preserve">, </w:t>
      </w:r>
      <w:r w:rsidR="00D1052F" w:rsidRPr="0085443D">
        <w:rPr>
          <w:rFonts w:cs="Calibri"/>
        </w:rPr>
        <w:t>metalsk</w:t>
      </w:r>
      <w:r w:rsidRPr="0085443D">
        <w:rPr>
          <w:rFonts w:cs="Calibri"/>
        </w:rPr>
        <w:t>a</w:t>
      </w:r>
      <w:r w:rsidR="002E3109" w:rsidRPr="0085443D">
        <w:rPr>
          <w:rFonts w:cs="Calibri"/>
        </w:rPr>
        <w:t xml:space="preserve"> </w:t>
      </w:r>
      <w:r w:rsidRPr="0085443D">
        <w:rPr>
          <w:rFonts w:cs="Calibri"/>
        </w:rPr>
        <w:t>industrija</w:t>
      </w:r>
      <w:r w:rsidR="002E3109" w:rsidRPr="0085443D">
        <w:rPr>
          <w:rFonts w:cs="Calibri"/>
        </w:rPr>
        <w:t xml:space="preserve">, </w:t>
      </w:r>
      <w:r w:rsidRPr="0085443D">
        <w:rPr>
          <w:rFonts w:cs="Calibri"/>
        </w:rPr>
        <w:t>primarna</w:t>
      </w:r>
      <w:r w:rsidR="002E3109" w:rsidRPr="0085443D">
        <w:rPr>
          <w:rFonts w:cs="Calibri"/>
        </w:rPr>
        <w:t xml:space="preserve"> </w:t>
      </w:r>
      <w:r w:rsidRPr="0085443D">
        <w:rPr>
          <w:rFonts w:cs="Calibri"/>
        </w:rPr>
        <w:t>prerada</w:t>
      </w:r>
      <w:r w:rsidR="002E3109" w:rsidRPr="0085443D">
        <w:rPr>
          <w:rFonts w:cs="Calibri"/>
        </w:rPr>
        <w:t xml:space="preserve"> </w:t>
      </w:r>
      <w:r w:rsidRPr="0085443D">
        <w:rPr>
          <w:rFonts w:cs="Calibri"/>
        </w:rPr>
        <w:t>drveta</w:t>
      </w:r>
      <w:r w:rsidR="002E3109" w:rsidRPr="0085443D">
        <w:rPr>
          <w:rFonts w:cs="Calibri"/>
        </w:rPr>
        <w:t xml:space="preserve">, </w:t>
      </w:r>
      <w:r w:rsidRPr="0085443D">
        <w:rPr>
          <w:rFonts w:cs="Calibri"/>
        </w:rPr>
        <w:t>poljoprivredna</w:t>
      </w:r>
      <w:r w:rsidR="002E3109" w:rsidRPr="0085443D">
        <w:rPr>
          <w:rFonts w:cs="Calibri"/>
        </w:rPr>
        <w:t xml:space="preserve"> </w:t>
      </w:r>
      <w:r w:rsidRPr="0085443D">
        <w:rPr>
          <w:rFonts w:cs="Calibri"/>
        </w:rPr>
        <w:t>proizvodnja</w:t>
      </w:r>
      <w:r w:rsidR="002E3109" w:rsidRPr="0085443D">
        <w:rPr>
          <w:rFonts w:cs="Calibri"/>
        </w:rPr>
        <w:t xml:space="preserve">, </w:t>
      </w:r>
      <w:r w:rsidRPr="0085443D">
        <w:rPr>
          <w:rFonts w:cs="Calibri"/>
        </w:rPr>
        <w:t>upravljanje</w:t>
      </w:r>
      <w:r w:rsidR="002E3109" w:rsidRPr="0085443D">
        <w:rPr>
          <w:rFonts w:cs="Calibri"/>
        </w:rPr>
        <w:t xml:space="preserve"> </w:t>
      </w:r>
      <w:r w:rsidRPr="0085443D">
        <w:rPr>
          <w:rFonts w:cs="Calibri"/>
        </w:rPr>
        <w:t>otpadom</w:t>
      </w:r>
      <w:r w:rsidR="002E3109" w:rsidRPr="0085443D">
        <w:rPr>
          <w:rFonts w:cs="Calibri"/>
        </w:rPr>
        <w:t xml:space="preserve">, </w:t>
      </w:r>
      <w:r w:rsidRPr="0085443D">
        <w:rPr>
          <w:rFonts w:cs="Calibri"/>
        </w:rPr>
        <w:t>proizvodnja</w:t>
      </w:r>
      <w:r w:rsidR="002E3109" w:rsidRPr="0085443D">
        <w:rPr>
          <w:rFonts w:cs="Calibri"/>
        </w:rPr>
        <w:t xml:space="preserve"> </w:t>
      </w:r>
      <w:r w:rsidRPr="0085443D">
        <w:rPr>
          <w:rFonts w:cs="Calibri"/>
        </w:rPr>
        <w:t>elemenata</w:t>
      </w:r>
      <w:r w:rsidR="002E3109" w:rsidRPr="0085443D">
        <w:rPr>
          <w:rFonts w:cs="Calibri"/>
        </w:rPr>
        <w:t xml:space="preserve"> </w:t>
      </w:r>
      <w:r w:rsidRPr="0085443D">
        <w:rPr>
          <w:rFonts w:cs="Calibri"/>
        </w:rPr>
        <w:t>za</w:t>
      </w:r>
      <w:r w:rsidR="002E3109" w:rsidRPr="0085443D">
        <w:rPr>
          <w:rFonts w:cs="Calibri"/>
        </w:rPr>
        <w:t xml:space="preserve"> </w:t>
      </w:r>
      <w:r w:rsidRPr="0085443D">
        <w:rPr>
          <w:rFonts w:cs="Calibri"/>
        </w:rPr>
        <w:t>građevinarstvo</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asfaltne</w:t>
      </w:r>
      <w:r w:rsidR="002E3109" w:rsidRPr="0085443D">
        <w:rPr>
          <w:rFonts w:cs="Calibri"/>
        </w:rPr>
        <w:t xml:space="preserve"> </w:t>
      </w:r>
      <w:r w:rsidRPr="0085443D">
        <w:rPr>
          <w:rFonts w:cs="Calibri"/>
        </w:rPr>
        <w:t>mase</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eksploatacija</w:t>
      </w:r>
      <w:r w:rsidR="002E3109" w:rsidRPr="0085443D">
        <w:rPr>
          <w:rFonts w:cs="Calibri"/>
        </w:rPr>
        <w:t xml:space="preserve"> </w:t>
      </w:r>
      <w:r w:rsidRPr="0085443D">
        <w:rPr>
          <w:rFonts w:cs="Calibri"/>
        </w:rPr>
        <w:t>mineralnih</w:t>
      </w:r>
      <w:r w:rsidR="002E3109" w:rsidRPr="0085443D">
        <w:rPr>
          <w:rFonts w:cs="Calibri"/>
        </w:rPr>
        <w:t xml:space="preserve"> </w:t>
      </w:r>
      <w:r w:rsidRPr="0085443D">
        <w:rPr>
          <w:rFonts w:cs="Calibri"/>
        </w:rPr>
        <w:t>sirovina</w:t>
      </w:r>
      <w:r w:rsidR="002E3109" w:rsidRPr="0085443D">
        <w:rPr>
          <w:rFonts w:cs="Calibri"/>
        </w:rPr>
        <w:t>.</w:t>
      </w:r>
    </w:p>
    <w:p w14:paraId="3CD22C20" w14:textId="177714BB" w:rsidR="002E3109" w:rsidRPr="0085443D" w:rsidRDefault="007B3DED" w:rsidP="00760B2E">
      <w:pPr>
        <w:widowControl w:val="0"/>
        <w:overflowPunct w:val="0"/>
        <w:autoSpaceDE w:val="0"/>
        <w:autoSpaceDN w:val="0"/>
        <w:adjustRightInd w:val="0"/>
        <w:jc w:val="both"/>
        <w:rPr>
          <w:rFonts w:cs="Calibri"/>
        </w:rPr>
      </w:pPr>
      <w:r w:rsidRPr="0085443D">
        <w:rPr>
          <w:rFonts w:cs="Calibri"/>
        </w:rPr>
        <w:t>Na</w:t>
      </w:r>
      <w:r w:rsidR="002E3109" w:rsidRPr="0085443D">
        <w:rPr>
          <w:rFonts w:cs="Calibri"/>
        </w:rPr>
        <w:t xml:space="preserve"> </w:t>
      </w:r>
      <w:r w:rsidRPr="0085443D">
        <w:rPr>
          <w:rFonts w:cs="Calibri"/>
        </w:rPr>
        <w:t>području</w:t>
      </w:r>
      <w:r w:rsidR="002E3109" w:rsidRPr="0085443D">
        <w:rPr>
          <w:rFonts w:cs="Calibri"/>
        </w:rPr>
        <w:t xml:space="preserve"> </w:t>
      </w:r>
      <w:r w:rsidRPr="0085443D">
        <w:rPr>
          <w:rFonts w:cs="Calibri"/>
        </w:rPr>
        <w:t>opštine</w:t>
      </w:r>
      <w:r w:rsidR="002E3109" w:rsidRPr="0085443D">
        <w:rPr>
          <w:rFonts w:cs="Calibri"/>
        </w:rPr>
        <w:t xml:space="preserve"> </w:t>
      </w:r>
      <w:r w:rsidRPr="0085443D">
        <w:rPr>
          <w:rFonts w:cs="Calibri"/>
        </w:rPr>
        <w:t>u</w:t>
      </w:r>
      <w:r w:rsidR="002E3109" w:rsidRPr="0085443D">
        <w:rPr>
          <w:rFonts w:cs="Calibri"/>
        </w:rPr>
        <w:t xml:space="preserve"> </w:t>
      </w:r>
      <w:r w:rsidRPr="0085443D">
        <w:rPr>
          <w:rFonts w:cs="Calibri"/>
        </w:rPr>
        <w:t>toku</w:t>
      </w:r>
      <w:r w:rsidR="002E3109" w:rsidRPr="0085443D">
        <w:rPr>
          <w:rFonts w:cs="Calibri"/>
        </w:rPr>
        <w:t xml:space="preserve"> </w:t>
      </w:r>
      <w:r w:rsidRPr="0085443D">
        <w:rPr>
          <w:rFonts w:cs="Calibri"/>
        </w:rPr>
        <w:t>je</w:t>
      </w:r>
      <w:r w:rsidR="002E3109" w:rsidRPr="0085443D">
        <w:rPr>
          <w:rFonts w:cs="Calibri"/>
        </w:rPr>
        <w:t xml:space="preserve"> </w:t>
      </w:r>
      <w:r w:rsidRPr="0085443D">
        <w:rPr>
          <w:rFonts w:cs="Calibri"/>
        </w:rPr>
        <w:t>izvođenje</w:t>
      </w:r>
      <w:r w:rsidR="002E3109" w:rsidRPr="0085443D">
        <w:rPr>
          <w:rFonts w:cs="Calibri"/>
        </w:rPr>
        <w:t xml:space="preserve"> </w:t>
      </w:r>
      <w:r w:rsidRPr="0085443D">
        <w:rPr>
          <w:rFonts w:cs="Calibri"/>
        </w:rPr>
        <w:t>radova</w:t>
      </w:r>
      <w:r w:rsidR="002E3109" w:rsidRPr="0085443D">
        <w:rPr>
          <w:rFonts w:cs="Calibri"/>
        </w:rPr>
        <w:t xml:space="preserve"> </w:t>
      </w:r>
      <w:r w:rsidRPr="0085443D">
        <w:rPr>
          <w:rFonts w:cs="Calibri"/>
        </w:rPr>
        <w:t>na</w:t>
      </w:r>
      <w:r w:rsidR="002E3109" w:rsidRPr="0085443D">
        <w:rPr>
          <w:rFonts w:cs="Calibri"/>
        </w:rPr>
        <w:t xml:space="preserve"> </w:t>
      </w:r>
      <w:r w:rsidRPr="0085443D">
        <w:rPr>
          <w:rFonts w:cs="Calibri"/>
        </w:rPr>
        <w:t>izgradnji</w:t>
      </w:r>
      <w:r w:rsidR="002E3109" w:rsidRPr="0085443D">
        <w:rPr>
          <w:rFonts w:cs="Calibri"/>
        </w:rPr>
        <w:t xml:space="preserve"> </w:t>
      </w:r>
      <w:r w:rsidRPr="0085443D">
        <w:rPr>
          <w:rFonts w:cs="Calibri"/>
        </w:rPr>
        <w:t>auto</w:t>
      </w:r>
      <w:r w:rsidR="00D1052F" w:rsidRPr="0085443D">
        <w:rPr>
          <w:rFonts w:cs="Calibri"/>
        </w:rPr>
        <w:t>-</w:t>
      </w:r>
      <w:r w:rsidRPr="0085443D">
        <w:rPr>
          <w:rFonts w:cs="Calibri"/>
        </w:rPr>
        <w:t>puta</w:t>
      </w:r>
      <w:r w:rsidR="002E3109" w:rsidRPr="0085443D">
        <w:rPr>
          <w:rFonts w:cs="Calibri"/>
        </w:rPr>
        <w:t xml:space="preserve"> </w:t>
      </w:r>
      <w:r w:rsidRPr="0085443D">
        <w:rPr>
          <w:rFonts w:cs="Calibri"/>
        </w:rPr>
        <w:t>Banja</w:t>
      </w:r>
      <w:r w:rsidR="002E3109" w:rsidRPr="0085443D">
        <w:rPr>
          <w:rFonts w:cs="Calibri"/>
        </w:rPr>
        <w:t xml:space="preserve"> </w:t>
      </w:r>
      <w:r w:rsidRPr="0085443D">
        <w:rPr>
          <w:rFonts w:cs="Calibri"/>
        </w:rPr>
        <w:t>Luka</w:t>
      </w:r>
      <w:r w:rsidR="002E3109" w:rsidRPr="0085443D">
        <w:rPr>
          <w:rFonts w:cs="Calibri"/>
        </w:rPr>
        <w:t xml:space="preserve"> – </w:t>
      </w:r>
      <w:r w:rsidRPr="0085443D">
        <w:rPr>
          <w:rFonts w:cs="Calibri"/>
        </w:rPr>
        <w:t>Doboj</w:t>
      </w:r>
      <w:r w:rsidR="002E3109" w:rsidRPr="0085443D">
        <w:rPr>
          <w:rFonts w:cs="Calibri"/>
        </w:rPr>
        <w:t xml:space="preserve">. </w:t>
      </w:r>
      <w:r w:rsidRPr="0085443D">
        <w:rPr>
          <w:rFonts w:cs="Calibri"/>
        </w:rPr>
        <w:t>Izvođenje</w:t>
      </w:r>
      <w:r w:rsidR="002E3109" w:rsidRPr="0085443D">
        <w:rPr>
          <w:rFonts w:cs="Calibri"/>
        </w:rPr>
        <w:t xml:space="preserve"> </w:t>
      </w:r>
      <w:r w:rsidRPr="0085443D">
        <w:rPr>
          <w:rFonts w:cs="Calibri"/>
        </w:rPr>
        <w:t>radova</w:t>
      </w:r>
      <w:r w:rsidR="002E3109" w:rsidRPr="0085443D">
        <w:rPr>
          <w:rFonts w:cs="Calibri"/>
        </w:rPr>
        <w:t xml:space="preserve"> </w:t>
      </w:r>
      <w:r w:rsidRPr="0085443D">
        <w:rPr>
          <w:rFonts w:cs="Calibri"/>
        </w:rPr>
        <w:t>je</w:t>
      </w:r>
      <w:r w:rsidR="002E3109" w:rsidRPr="0085443D">
        <w:rPr>
          <w:rFonts w:cs="Calibri"/>
        </w:rPr>
        <w:t xml:space="preserve"> </w:t>
      </w:r>
      <w:r w:rsidRPr="0085443D">
        <w:rPr>
          <w:rFonts w:cs="Calibri"/>
        </w:rPr>
        <w:t>usko</w:t>
      </w:r>
      <w:r w:rsidR="002E3109" w:rsidRPr="0085443D">
        <w:rPr>
          <w:rFonts w:cs="Calibri"/>
        </w:rPr>
        <w:t xml:space="preserve"> </w:t>
      </w:r>
      <w:r w:rsidRPr="0085443D">
        <w:rPr>
          <w:rFonts w:cs="Calibri"/>
        </w:rPr>
        <w:t>vezano</w:t>
      </w:r>
      <w:r w:rsidR="002E3109" w:rsidRPr="0085443D">
        <w:rPr>
          <w:rFonts w:cs="Calibri"/>
        </w:rPr>
        <w:t xml:space="preserve"> </w:t>
      </w:r>
      <w:r w:rsidRPr="0085443D">
        <w:rPr>
          <w:rFonts w:cs="Calibri"/>
        </w:rPr>
        <w:t>sa</w:t>
      </w:r>
      <w:r w:rsidR="002E3109" w:rsidRPr="0085443D">
        <w:rPr>
          <w:rFonts w:cs="Calibri"/>
        </w:rPr>
        <w:t xml:space="preserve"> </w:t>
      </w:r>
      <w:r w:rsidRPr="0085443D">
        <w:rPr>
          <w:rFonts w:cs="Calibri"/>
        </w:rPr>
        <w:t>elemenatima</w:t>
      </w:r>
      <w:r w:rsidR="002E3109" w:rsidRPr="0085443D">
        <w:rPr>
          <w:rFonts w:cs="Calibri"/>
        </w:rPr>
        <w:t xml:space="preserve"> </w:t>
      </w:r>
      <w:r w:rsidRPr="0085443D">
        <w:rPr>
          <w:rFonts w:cs="Calibri"/>
        </w:rPr>
        <w:t>zagađenja</w:t>
      </w:r>
      <w:r w:rsidR="002E3109" w:rsidRPr="0085443D">
        <w:rPr>
          <w:rFonts w:cs="Calibri"/>
        </w:rPr>
        <w:t xml:space="preserve">: </w:t>
      </w:r>
      <w:r w:rsidRPr="0085443D">
        <w:rPr>
          <w:rFonts w:cs="Calibri"/>
        </w:rPr>
        <w:t>buka</w:t>
      </w:r>
      <w:r w:rsidR="002E3109" w:rsidRPr="0085443D">
        <w:rPr>
          <w:rFonts w:cs="Calibri"/>
        </w:rPr>
        <w:t xml:space="preserve">, </w:t>
      </w:r>
      <w:r w:rsidRPr="0085443D">
        <w:rPr>
          <w:rFonts w:cs="Calibri"/>
        </w:rPr>
        <w:t>vibracija</w:t>
      </w:r>
      <w:r w:rsidR="002E3109" w:rsidRPr="0085443D">
        <w:rPr>
          <w:rFonts w:cs="Calibri"/>
        </w:rPr>
        <w:t xml:space="preserve">, </w:t>
      </w:r>
      <w:r w:rsidRPr="0085443D">
        <w:rPr>
          <w:rFonts w:cs="Calibri"/>
        </w:rPr>
        <w:t>broj</w:t>
      </w:r>
      <w:r w:rsidR="002E3109" w:rsidRPr="0085443D">
        <w:rPr>
          <w:rFonts w:cs="Calibri"/>
        </w:rPr>
        <w:t xml:space="preserve"> </w:t>
      </w:r>
      <w:r w:rsidRPr="0085443D">
        <w:rPr>
          <w:rFonts w:cs="Calibri"/>
        </w:rPr>
        <w:t>ukupnih</w:t>
      </w:r>
      <w:r w:rsidR="002E3109" w:rsidRPr="0085443D">
        <w:rPr>
          <w:rFonts w:cs="Calibri"/>
        </w:rPr>
        <w:t xml:space="preserve"> </w:t>
      </w:r>
      <w:r w:rsidRPr="0085443D">
        <w:rPr>
          <w:rFonts w:cs="Calibri"/>
        </w:rPr>
        <w:t>lebdećih</w:t>
      </w:r>
      <w:r w:rsidR="002E3109" w:rsidRPr="0085443D">
        <w:rPr>
          <w:rFonts w:cs="Calibri"/>
        </w:rPr>
        <w:t xml:space="preserve"> </w:t>
      </w:r>
      <w:r w:rsidRPr="0085443D">
        <w:rPr>
          <w:rFonts w:cs="Calibri"/>
        </w:rPr>
        <w:t>čestica</w:t>
      </w:r>
      <w:r w:rsidR="002E3109" w:rsidRPr="0085443D">
        <w:rPr>
          <w:rFonts w:cs="Calibri"/>
        </w:rPr>
        <w:t xml:space="preserve"> (</w:t>
      </w:r>
      <w:r w:rsidRPr="0085443D">
        <w:rPr>
          <w:rFonts w:cs="Calibri"/>
        </w:rPr>
        <w:t>prašina</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nivo</w:t>
      </w:r>
      <w:r w:rsidR="002E3109" w:rsidRPr="0085443D">
        <w:rPr>
          <w:rFonts w:cs="Calibri"/>
        </w:rPr>
        <w:t xml:space="preserve"> </w:t>
      </w:r>
      <w:r w:rsidRPr="0085443D">
        <w:rPr>
          <w:rFonts w:cs="Calibri"/>
        </w:rPr>
        <w:t>izduvnih</w:t>
      </w:r>
      <w:r w:rsidR="002E3109" w:rsidRPr="0085443D">
        <w:rPr>
          <w:rFonts w:cs="Calibri"/>
        </w:rPr>
        <w:t xml:space="preserve"> </w:t>
      </w:r>
      <w:r w:rsidRPr="0085443D">
        <w:rPr>
          <w:rFonts w:cs="Calibri"/>
        </w:rPr>
        <w:t>gasova</w:t>
      </w:r>
      <w:r w:rsidR="002E3109" w:rsidRPr="0085443D">
        <w:rPr>
          <w:rFonts w:cs="Calibri"/>
        </w:rPr>
        <w:t xml:space="preserve"> </w:t>
      </w:r>
      <w:r w:rsidRPr="0085443D">
        <w:rPr>
          <w:rFonts w:cs="Calibri"/>
        </w:rPr>
        <w:t>sagorijevanja</w:t>
      </w:r>
      <w:r w:rsidR="002E3109" w:rsidRPr="0085443D">
        <w:rPr>
          <w:rFonts w:cs="Calibri"/>
        </w:rPr>
        <w:t xml:space="preserve"> </w:t>
      </w:r>
      <w:r w:rsidRPr="0085443D">
        <w:rPr>
          <w:rFonts w:cs="Calibri"/>
        </w:rPr>
        <w:t>motora</w:t>
      </w:r>
      <w:r w:rsidR="002E3109" w:rsidRPr="0085443D">
        <w:rPr>
          <w:rFonts w:cs="Calibri"/>
        </w:rPr>
        <w:t xml:space="preserve"> (</w:t>
      </w:r>
      <w:r w:rsidRPr="0085443D">
        <w:rPr>
          <w:rFonts w:cs="Calibri"/>
        </w:rPr>
        <w:t>radnih</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transportnih</w:t>
      </w:r>
      <w:r w:rsidR="002E3109" w:rsidRPr="0085443D">
        <w:rPr>
          <w:rFonts w:cs="Calibri"/>
        </w:rPr>
        <w:t xml:space="preserve"> </w:t>
      </w:r>
      <w:r w:rsidRPr="0085443D">
        <w:rPr>
          <w:rFonts w:cs="Calibri"/>
        </w:rPr>
        <w:t>mašina</w:t>
      </w:r>
      <w:r w:rsidR="002E3109" w:rsidRPr="0085443D">
        <w:rPr>
          <w:rFonts w:cs="Calibri"/>
        </w:rPr>
        <w:t xml:space="preserve">), </w:t>
      </w:r>
      <w:r w:rsidRPr="0085443D">
        <w:rPr>
          <w:rFonts w:cs="Calibri"/>
        </w:rPr>
        <w:t>sa</w:t>
      </w:r>
      <w:r w:rsidR="002E3109" w:rsidRPr="0085443D">
        <w:rPr>
          <w:rFonts w:cs="Calibri"/>
        </w:rPr>
        <w:t xml:space="preserve"> </w:t>
      </w:r>
      <w:r w:rsidRPr="0085443D">
        <w:rPr>
          <w:rFonts w:cs="Calibri"/>
        </w:rPr>
        <w:t>propratnim</w:t>
      </w:r>
      <w:r w:rsidR="002E3109" w:rsidRPr="0085443D">
        <w:rPr>
          <w:rFonts w:cs="Calibri"/>
        </w:rPr>
        <w:t xml:space="preserve"> </w:t>
      </w:r>
      <w:r w:rsidRPr="0085443D">
        <w:rPr>
          <w:rFonts w:cs="Calibri"/>
        </w:rPr>
        <w:t>pojavama</w:t>
      </w:r>
      <w:r w:rsidR="002E3109" w:rsidRPr="0085443D">
        <w:rPr>
          <w:rFonts w:cs="Calibri"/>
        </w:rPr>
        <w:t xml:space="preserve"> </w:t>
      </w:r>
      <w:r w:rsidRPr="0085443D">
        <w:rPr>
          <w:rFonts w:cs="Calibri"/>
        </w:rPr>
        <w:t>kao</w:t>
      </w:r>
      <w:r w:rsidR="002E3109" w:rsidRPr="0085443D">
        <w:rPr>
          <w:rFonts w:cs="Calibri"/>
        </w:rPr>
        <w:t xml:space="preserve"> </w:t>
      </w:r>
      <w:r w:rsidRPr="0085443D">
        <w:rPr>
          <w:rFonts w:cs="Calibri"/>
        </w:rPr>
        <w:t>što</w:t>
      </w:r>
      <w:r w:rsidR="002E3109" w:rsidRPr="0085443D">
        <w:rPr>
          <w:rFonts w:cs="Calibri"/>
        </w:rPr>
        <w:t xml:space="preserve"> </w:t>
      </w:r>
      <w:r w:rsidRPr="0085443D">
        <w:rPr>
          <w:rFonts w:cs="Calibri"/>
        </w:rPr>
        <w:t>su</w:t>
      </w:r>
      <w:r w:rsidR="002E3109" w:rsidRPr="0085443D">
        <w:rPr>
          <w:rFonts w:cs="Calibri"/>
        </w:rPr>
        <w:t xml:space="preserve"> </w:t>
      </w:r>
      <w:r w:rsidRPr="0085443D">
        <w:rPr>
          <w:rFonts w:cs="Calibri"/>
        </w:rPr>
        <w:t>izmještanje</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presijecanje</w:t>
      </w:r>
      <w:r w:rsidR="002E3109" w:rsidRPr="0085443D">
        <w:rPr>
          <w:rFonts w:cs="Calibri"/>
        </w:rPr>
        <w:t xml:space="preserve"> </w:t>
      </w:r>
      <w:r w:rsidRPr="0085443D">
        <w:rPr>
          <w:rFonts w:cs="Calibri"/>
        </w:rPr>
        <w:t>vodnih</w:t>
      </w:r>
      <w:r w:rsidR="002E3109" w:rsidRPr="0085443D">
        <w:rPr>
          <w:rFonts w:cs="Calibri"/>
        </w:rPr>
        <w:t xml:space="preserve"> </w:t>
      </w:r>
      <w:r w:rsidRPr="0085443D">
        <w:rPr>
          <w:rFonts w:cs="Calibri"/>
        </w:rPr>
        <w:t>tokova</w:t>
      </w:r>
      <w:r w:rsidR="002E3109" w:rsidRPr="0085443D">
        <w:rPr>
          <w:rFonts w:cs="Calibri"/>
        </w:rPr>
        <w:t xml:space="preserve"> (</w:t>
      </w:r>
      <w:r w:rsidRPr="0085443D">
        <w:rPr>
          <w:rFonts w:cs="Calibri"/>
        </w:rPr>
        <w:t>potok</w:t>
      </w:r>
      <w:r w:rsidR="002E3109" w:rsidRPr="0085443D">
        <w:rPr>
          <w:rFonts w:cs="Calibri"/>
        </w:rPr>
        <w:t xml:space="preserve">, </w:t>
      </w:r>
      <w:r w:rsidRPr="0085443D">
        <w:rPr>
          <w:rFonts w:cs="Calibri"/>
        </w:rPr>
        <w:t>rijeka</w:t>
      </w:r>
      <w:r w:rsidR="002E3109" w:rsidRPr="0085443D">
        <w:rPr>
          <w:rFonts w:cs="Calibri"/>
        </w:rPr>
        <w:t xml:space="preserve">, </w:t>
      </w:r>
      <w:r w:rsidRPr="0085443D">
        <w:rPr>
          <w:rFonts w:cs="Calibri"/>
        </w:rPr>
        <w:t>prirodni</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izgrađeni</w:t>
      </w:r>
      <w:r w:rsidR="002E3109" w:rsidRPr="0085443D">
        <w:rPr>
          <w:rFonts w:cs="Calibri"/>
        </w:rPr>
        <w:t xml:space="preserve"> </w:t>
      </w:r>
      <w:r w:rsidRPr="0085443D">
        <w:rPr>
          <w:rFonts w:cs="Calibri"/>
        </w:rPr>
        <w:t>odvodni</w:t>
      </w:r>
      <w:r w:rsidR="002E3109" w:rsidRPr="0085443D">
        <w:rPr>
          <w:rFonts w:cs="Calibri"/>
        </w:rPr>
        <w:t xml:space="preserve"> </w:t>
      </w:r>
      <w:r w:rsidRPr="0085443D">
        <w:rPr>
          <w:rFonts w:cs="Calibri"/>
        </w:rPr>
        <w:t>kanali</w:t>
      </w:r>
      <w:r w:rsidR="002E3109" w:rsidRPr="0085443D">
        <w:rPr>
          <w:rFonts w:cs="Calibri"/>
        </w:rPr>
        <w:t xml:space="preserve"> </w:t>
      </w:r>
      <w:r w:rsidRPr="0085443D">
        <w:rPr>
          <w:rFonts w:cs="Calibri"/>
        </w:rPr>
        <w:t>za</w:t>
      </w:r>
      <w:r w:rsidR="002E3109" w:rsidRPr="0085443D">
        <w:rPr>
          <w:rFonts w:cs="Calibri"/>
        </w:rPr>
        <w:t xml:space="preserve"> </w:t>
      </w:r>
      <w:r w:rsidRPr="0085443D">
        <w:rPr>
          <w:rFonts w:cs="Calibri"/>
        </w:rPr>
        <w:t>površinske</w:t>
      </w:r>
      <w:r w:rsidR="002E3109" w:rsidRPr="0085443D">
        <w:rPr>
          <w:rFonts w:cs="Calibri"/>
        </w:rPr>
        <w:t xml:space="preserve"> </w:t>
      </w:r>
      <w:r w:rsidRPr="0085443D">
        <w:rPr>
          <w:rFonts w:cs="Calibri"/>
        </w:rPr>
        <w:t>vode</w:t>
      </w:r>
      <w:r w:rsidR="002E3109" w:rsidRPr="0085443D">
        <w:rPr>
          <w:rFonts w:cs="Calibri"/>
        </w:rPr>
        <w:t xml:space="preserve">), </w:t>
      </w:r>
      <w:r w:rsidRPr="0085443D">
        <w:rPr>
          <w:rFonts w:cs="Calibri"/>
        </w:rPr>
        <w:t>izmještanje</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presjecanje</w:t>
      </w:r>
      <w:r w:rsidR="002E3109" w:rsidRPr="0085443D">
        <w:rPr>
          <w:rFonts w:cs="Calibri"/>
        </w:rPr>
        <w:t xml:space="preserve"> </w:t>
      </w:r>
      <w:r w:rsidRPr="0085443D">
        <w:rPr>
          <w:rFonts w:cs="Calibri"/>
        </w:rPr>
        <w:t>lokalnih</w:t>
      </w:r>
      <w:r w:rsidR="002E3109" w:rsidRPr="0085443D">
        <w:rPr>
          <w:rFonts w:cs="Calibri"/>
        </w:rPr>
        <w:t xml:space="preserve"> </w:t>
      </w:r>
      <w:r w:rsidRPr="0085443D">
        <w:rPr>
          <w:rFonts w:cs="Calibri"/>
        </w:rPr>
        <w:t>puteva</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prilaza</w:t>
      </w:r>
      <w:r w:rsidR="002E3109" w:rsidRPr="0085443D">
        <w:rPr>
          <w:rFonts w:cs="Calibri"/>
        </w:rPr>
        <w:t xml:space="preserve"> </w:t>
      </w:r>
      <w:r w:rsidRPr="0085443D">
        <w:rPr>
          <w:rFonts w:cs="Calibri"/>
        </w:rPr>
        <w:t>u</w:t>
      </w:r>
      <w:r w:rsidR="002E3109" w:rsidRPr="0085443D">
        <w:rPr>
          <w:rFonts w:cs="Calibri"/>
        </w:rPr>
        <w:t xml:space="preserve"> </w:t>
      </w:r>
      <w:r w:rsidRPr="0085443D">
        <w:rPr>
          <w:rFonts w:cs="Calibri"/>
        </w:rPr>
        <w:t>domaćinstvo</w:t>
      </w:r>
      <w:r w:rsidR="002E3109" w:rsidRPr="0085443D">
        <w:rPr>
          <w:rFonts w:cs="Calibri"/>
        </w:rPr>
        <w:t>.</w:t>
      </w:r>
      <w:r w:rsidR="008C3C51">
        <w:rPr>
          <w:rFonts w:cs="Calibri"/>
        </w:rPr>
        <w:t xml:space="preserve"> </w:t>
      </w:r>
      <w:r w:rsidRPr="0085443D">
        <w:rPr>
          <w:rFonts w:cs="Calibri"/>
        </w:rPr>
        <w:t>U</w:t>
      </w:r>
      <w:r w:rsidR="002E3109" w:rsidRPr="0085443D">
        <w:rPr>
          <w:rFonts w:cs="Calibri"/>
        </w:rPr>
        <w:t xml:space="preserve"> </w:t>
      </w:r>
      <w:r w:rsidRPr="0085443D">
        <w:rPr>
          <w:rFonts w:cs="Calibri"/>
        </w:rPr>
        <w:t>vezi</w:t>
      </w:r>
      <w:r w:rsidR="002E3109" w:rsidRPr="0085443D">
        <w:rPr>
          <w:rFonts w:cs="Calibri"/>
        </w:rPr>
        <w:t xml:space="preserve"> </w:t>
      </w:r>
      <w:r w:rsidRPr="0085443D">
        <w:rPr>
          <w:rFonts w:cs="Calibri"/>
        </w:rPr>
        <w:t>sa</w:t>
      </w:r>
      <w:r w:rsidR="002E3109" w:rsidRPr="0085443D">
        <w:rPr>
          <w:rFonts w:cs="Calibri"/>
        </w:rPr>
        <w:t xml:space="preserve"> </w:t>
      </w:r>
      <w:r w:rsidRPr="0085443D">
        <w:rPr>
          <w:rFonts w:cs="Calibri"/>
        </w:rPr>
        <w:t>izvođenjem</w:t>
      </w:r>
      <w:r w:rsidR="002E3109" w:rsidRPr="0085443D">
        <w:rPr>
          <w:rFonts w:cs="Calibri"/>
        </w:rPr>
        <w:t xml:space="preserve"> </w:t>
      </w:r>
      <w:r w:rsidRPr="0085443D">
        <w:rPr>
          <w:rFonts w:cs="Calibri"/>
        </w:rPr>
        <w:t>radova</w:t>
      </w:r>
      <w:r w:rsidR="002E3109" w:rsidRPr="0085443D">
        <w:rPr>
          <w:rFonts w:cs="Calibri"/>
        </w:rPr>
        <w:t xml:space="preserve"> </w:t>
      </w:r>
      <w:r w:rsidRPr="0085443D">
        <w:rPr>
          <w:rFonts w:cs="Calibri"/>
        </w:rPr>
        <w:t>na</w:t>
      </w:r>
      <w:r w:rsidR="002E3109" w:rsidRPr="0085443D">
        <w:rPr>
          <w:rFonts w:cs="Calibri"/>
        </w:rPr>
        <w:t xml:space="preserve"> </w:t>
      </w:r>
      <w:r w:rsidRPr="0085443D">
        <w:rPr>
          <w:rFonts w:cs="Calibri"/>
        </w:rPr>
        <w:t>izgradnji</w:t>
      </w:r>
      <w:r w:rsidR="002E3109" w:rsidRPr="0085443D">
        <w:rPr>
          <w:rFonts w:cs="Calibri"/>
        </w:rPr>
        <w:t xml:space="preserve"> </w:t>
      </w:r>
      <w:r w:rsidRPr="0085443D">
        <w:rPr>
          <w:rFonts w:cs="Calibri"/>
        </w:rPr>
        <w:t>auto</w:t>
      </w:r>
      <w:r w:rsidR="002E3109" w:rsidRPr="0085443D">
        <w:rPr>
          <w:rFonts w:cs="Calibri"/>
        </w:rPr>
        <w:t>-</w:t>
      </w:r>
      <w:r w:rsidRPr="0085443D">
        <w:rPr>
          <w:rFonts w:cs="Calibri"/>
        </w:rPr>
        <w:t>puta</w:t>
      </w:r>
      <w:r w:rsidR="002E3109" w:rsidRPr="0085443D">
        <w:rPr>
          <w:rFonts w:cs="Calibri"/>
        </w:rPr>
        <w:t xml:space="preserve"> </w:t>
      </w:r>
      <w:r w:rsidRPr="0085443D">
        <w:rPr>
          <w:rFonts w:cs="Calibri"/>
        </w:rPr>
        <w:t>su</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subjekti</w:t>
      </w:r>
      <w:r w:rsidR="002E3109" w:rsidRPr="0085443D">
        <w:rPr>
          <w:rFonts w:cs="Calibri"/>
        </w:rPr>
        <w:t xml:space="preserve"> </w:t>
      </w:r>
      <w:r w:rsidRPr="0085443D">
        <w:rPr>
          <w:rFonts w:cs="Calibri"/>
        </w:rPr>
        <w:t>koji</w:t>
      </w:r>
      <w:r w:rsidR="002E3109" w:rsidRPr="0085443D">
        <w:rPr>
          <w:rFonts w:cs="Calibri"/>
        </w:rPr>
        <w:t xml:space="preserve"> </w:t>
      </w:r>
      <w:r w:rsidRPr="0085443D">
        <w:rPr>
          <w:rFonts w:cs="Calibri"/>
        </w:rPr>
        <w:t>eksploatišu</w:t>
      </w:r>
      <w:r w:rsidR="002E3109" w:rsidRPr="0085443D">
        <w:rPr>
          <w:rFonts w:cs="Calibri"/>
        </w:rPr>
        <w:t xml:space="preserve"> </w:t>
      </w:r>
      <w:r w:rsidRPr="0085443D">
        <w:rPr>
          <w:rFonts w:cs="Calibri"/>
        </w:rPr>
        <w:t>mineralne</w:t>
      </w:r>
      <w:r w:rsidR="002E3109" w:rsidRPr="0085443D">
        <w:rPr>
          <w:rFonts w:cs="Calibri"/>
        </w:rPr>
        <w:t xml:space="preserve"> </w:t>
      </w:r>
      <w:r w:rsidRPr="0085443D">
        <w:rPr>
          <w:rFonts w:cs="Calibri"/>
        </w:rPr>
        <w:t>materije</w:t>
      </w:r>
      <w:r w:rsidR="002E3109" w:rsidRPr="0085443D">
        <w:rPr>
          <w:rFonts w:cs="Calibri"/>
        </w:rPr>
        <w:t xml:space="preserve"> (</w:t>
      </w:r>
      <w:r w:rsidRPr="0085443D">
        <w:rPr>
          <w:rFonts w:cs="Calibri"/>
        </w:rPr>
        <w:t>kamenolomi</w:t>
      </w:r>
      <w:r w:rsidR="002E3109" w:rsidRPr="0085443D">
        <w:rPr>
          <w:rFonts w:cs="Calibri"/>
        </w:rPr>
        <w:t xml:space="preserve">). </w:t>
      </w:r>
      <w:r w:rsidRPr="0085443D">
        <w:rPr>
          <w:rFonts w:cs="Calibri"/>
        </w:rPr>
        <w:t>Uticaj</w:t>
      </w:r>
      <w:r w:rsidR="002E3109" w:rsidRPr="0085443D">
        <w:rPr>
          <w:rFonts w:cs="Calibri"/>
        </w:rPr>
        <w:t xml:space="preserve"> </w:t>
      </w:r>
      <w:r w:rsidRPr="0085443D">
        <w:rPr>
          <w:rFonts w:cs="Calibri"/>
        </w:rPr>
        <w:t>na</w:t>
      </w:r>
      <w:r w:rsidR="002E3109" w:rsidRPr="0085443D">
        <w:rPr>
          <w:rFonts w:cs="Calibri"/>
        </w:rPr>
        <w:t xml:space="preserve"> </w:t>
      </w:r>
      <w:r w:rsidRPr="0085443D">
        <w:rPr>
          <w:rFonts w:cs="Calibri"/>
        </w:rPr>
        <w:t>životnu</w:t>
      </w:r>
      <w:r w:rsidR="002E3109" w:rsidRPr="0085443D">
        <w:rPr>
          <w:rFonts w:cs="Calibri"/>
        </w:rPr>
        <w:t xml:space="preserve"> </w:t>
      </w:r>
      <w:r w:rsidRPr="0085443D">
        <w:rPr>
          <w:rFonts w:cs="Calibri"/>
        </w:rPr>
        <w:t>sredinu</w:t>
      </w:r>
      <w:r w:rsidR="002E3109" w:rsidRPr="0085443D">
        <w:rPr>
          <w:rFonts w:cs="Calibri"/>
        </w:rPr>
        <w:t xml:space="preserve"> </w:t>
      </w:r>
      <w:r w:rsidRPr="0085443D">
        <w:rPr>
          <w:rFonts w:cs="Calibri"/>
        </w:rPr>
        <w:t>je</w:t>
      </w:r>
      <w:r w:rsidR="002E3109" w:rsidRPr="0085443D">
        <w:rPr>
          <w:rFonts w:cs="Calibri"/>
        </w:rPr>
        <w:t xml:space="preserve"> </w:t>
      </w:r>
      <w:r w:rsidRPr="0085443D">
        <w:rPr>
          <w:rFonts w:cs="Calibri"/>
        </w:rPr>
        <w:t>evidentan</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u</w:t>
      </w:r>
      <w:r w:rsidR="002E3109" w:rsidRPr="0085443D">
        <w:rPr>
          <w:rFonts w:cs="Calibri"/>
        </w:rPr>
        <w:t xml:space="preserve"> </w:t>
      </w:r>
      <w:r w:rsidRPr="0085443D">
        <w:rPr>
          <w:rFonts w:cs="Calibri"/>
        </w:rPr>
        <w:t>direktnoj</w:t>
      </w:r>
      <w:r w:rsidR="002E3109" w:rsidRPr="0085443D">
        <w:rPr>
          <w:rFonts w:cs="Calibri"/>
        </w:rPr>
        <w:t xml:space="preserve"> </w:t>
      </w:r>
      <w:r w:rsidRPr="0085443D">
        <w:rPr>
          <w:rFonts w:cs="Calibri"/>
        </w:rPr>
        <w:t>je</w:t>
      </w:r>
      <w:r w:rsidR="002E3109" w:rsidRPr="0085443D">
        <w:rPr>
          <w:rFonts w:cs="Calibri"/>
        </w:rPr>
        <w:t xml:space="preserve"> </w:t>
      </w:r>
      <w:r w:rsidRPr="0085443D">
        <w:rPr>
          <w:rFonts w:cs="Calibri"/>
        </w:rPr>
        <w:t>korelaciji</w:t>
      </w:r>
      <w:r w:rsidR="002E3109" w:rsidRPr="0085443D">
        <w:rPr>
          <w:rFonts w:cs="Calibri"/>
        </w:rPr>
        <w:t xml:space="preserve"> </w:t>
      </w:r>
      <w:r w:rsidRPr="0085443D">
        <w:rPr>
          <w:rFonts w:cs="Calibri"/>
        </w:rPr>
        <w:t>sa</w:t>
      </w:r>
      <w:r w:rsidR="002E3109" w:rsidRPr="0085443D">
        <w:rPr>
          <w:rFonts w:cs="Calibri"/>
        </w:rPr>
        <w:t xml:space="preserve"> </w:t>
      </w:r>
      <w:r w:rsidRPr="0085443D">
        <w:rPr>
          <w:rFonts w:cs="Calibri"/>
        </w:rPr>
        <w:t>prekomjerom</w:t>
      </w:r>
      <w:r w:rsidR="002E3109" w:rsidRPr="0085443D">
        <w:rPr>
          <w:rFonts w:cs="Calibri"/>
        </w:rPr>
        <w:t xml:space="preserve"> </w:t>
      </w:r>
      <w:r w:rsidRPr="0085443D">
        <w:rPr>
          <w:rFonts w:cs="Calibri"/>
        </w:rPr>
        <w:t>eksploatacijom</w:t>
      </w:r>
      <w:r w:rsidR="002E3109" w:rsidRPr="0085443D">
        <w:rPr>
          <w:rFonts w:cs="Calibri"/>
        </w:rPr>
        <w:t xml:space="preserve"> </w:t>
      </w:r>
      <w:r w:rsidRPr="0085443D">
        <w:rPr>
          <w:rFonts w:cs="Calibri"/>
        </w:rPr>
        <w:t>mineralnih</w:t>
      </w:r>
      <w:r w:rsidR="002E3109" w:rsidRPr="0085443D">
        <w:rPr>
          <w:rFonts w:cs="Calibri"/>
        </w:rPr>
        <w:t xml:space="preserve"> </w:t>
      </w:r>
      <w:r w:rsidRPr="0085443D">
        <w:rPr>
          <w:rFonts w:cs="Calibri"/>
        </w:rPr>
        <w:t>sirovina</w:t>
      </w:r>
      <w:r w:rsidR="002E3109" w:rsidRPr="0085443D">
        <w:rPr>
          <w:rFonts w:cs="Calibri"/>
        </w:rPr>
        <w:t>.</w:t>
      </w:r>
    </w:p>
    <w:p w14:paraId="65F3AE6D" w14:textId="16F05AF0" w:rsidR="002E3109" w:rsidRDefault="007B3DED" w:rsidP="00760B2E">
      <w:pPr>
        <w:widowControl w:val="0"/>
        <w:overflowPunct w:val="0"/>
        <w:autoSpaceDE w:val="0"/>
        <w:autoSpaceDN w:val="0"/>
        <w:adjustRightInd w:val="0"/>
        <w:jc w:val="both"/>
        <w:rPr>
          <w:rFonts w:cs="Calibri"/>
        </w:rPr>
      </w:pPr>
      <w:r w:rsidRPr="0085443D">
        <w:rPr>
          <w:rFonts w:cs="Calibri"/>
        </w:rPr>
        <w:t>Aktivno</w:t>
      </w:r>
      <w:r w:rsidR="002E3109" w:rsidRPr="0085443D">
        <w:rPr>
          <w:rFonts w:cs="Calibri"/>
        </w:rPr>
        <w:t xml:space="preserve"> </w:t>
      </w:r>
      <w:r w:rsidRPr="0085443D">
        <w:rPr>
          <w:rFonts w:cs="Calibri"/>
        </w:rPr>
        <w:t>je</w:t>
      </w:r>
      <w:r w:rsidR="002E3109" w:rsidRPr="0085443D">
        <w:rPr>
          <w:rFonts w:cs="Calibri"/>
        </w:rPr>
        <w:t xml:space="preserve"> </w:t>
      </w:r>
      <w:r w:rsidRPr="0085443D">
        <w:rPr>
          <w:rFonts w:cs="Calibri"/>
        </w:rPr>
        <w:t>postrojenj</w:t>
      </w:r>
      <w:r w:rsidR="002E3109" w:rsidRPr="0085443D">
        <w:rPr>
          <w:rFonts w:cs="Calibri"/>
        </w:rPr>
        <w:t xml:space="preserve">e </w:t>
      </w:r>
      <w:r w:rsidRPr="0085443D">
        <w:rPr>
          <w:rFonts w:cs="Calibri"/>
        </w:rPr>
        <w:t>za</w:t>
      </w:r>
      <w:r w:rsidR="002E3109" w:rsidRPr="0085443D">
        <w:rPr>
          <w:rFonts w:cs="Calibri"/>
        </w:rPr>
        <w:t xml:space="preserve"> </w:t>
      </w:r>
      <w:r w:rsidRPr="0085443D">
        <w:rPr>
          <w:rFonts w:cs="Calibri"/>
        </w:rPr>
        <w:t>proizvodnju</w:t>
      </w:r>
      <w:r w:rsidR="002E3109" w:rsidRPr="0085443D">
        <w:rPr>
          <w:rFonts w:cs="Calibri"/>
        </w:rPr>
        <w:t xml:space="preserve"> </w:t>
      </w:r>
      <w:r w:rsidRPr="0085443D">
        <w:rPr>
          <w:rFonts w:cs="Calibri"/>
        </w:rPr>
        <w:t>asfalta</w:t>
      </w:r>
      <w:r w:rsidR="002E3109" w:rsidRPr="0085443D">
        <w:rPr>
          <w:rFonts w:cs="Calibri"/>
        </w:rPr>
        <w:t xml:space="preserve"> </w:t>
      </w:r>
      <w:r w:rsidRPr="0085443D">
        <w:rPr>
          <w:rFonts w:cs="Calibri"/>
        </w:rPr>
        <w:t>sa</w:t>
      </w:r>
      <w:r w:rsidR="002E3109" w:rsidRPr="0085443D">
        <w:rPr>
          <w:rFonts w:cs="Calibri"/>
        </w:rPr>
        <w:t xml:space="preserve"> </w:t>
      </w:r>
      <w:r w:rsidRPr="0085443D">
        <w:rPr>
          <w:rFonts w:cs="Calibri"/>
        </w:rPr>
        <w:t>proizvodnim</w:t>
      </w:r>
      <w:r w:rsidR="002E3109" w:rsidRPr="0085443D">
        <w:rPr>
          <w:rFonts w:cs="Calibri"/>
        </w:rPr>
        <w:t xml:space="preserve"> </w:t>
      </w:r>
      <w:r w:rsidRPr="0085443D">
        <w:rPr>
          <w:rFonts w:cs="Calibri"/>
        </w:rPr>
        <w:t>kapacitetom</w:t>
      </w:r>
      <w:r w:rsidR="002E3109" w:rsidRPr="0085443D">
        <w:rPr>
          <w:rFonts w:cs="Calibri"/>
        </w:rPr>
        <w:t xml:space="preserve"> 200 t/h. </w:t>
      </w:r>
      <w:r w:rsidRPr="0085443D">
        <w:rPr>
          <w:rFonts w:cs="Calibri"/>
        </w:rPr>
        <w:t>Uzimajući</w:t>
      </w:r>
      <w:r w:rsidR="002E3109" w:rsidRPr="0085443D">
        <w:rPr>
          <w:rFonts w:cs="Calibri"/>
        </w:rPr>
        <w:t xml:space="preserve"> </w:t>
      </w:r>
      <w:r w:rsidRPr="0085443D">
        <w:rPr>
          <w:rFonts w:cs="Calibri"/>
        </w:rPr>
        <w:t>u</w:t>
      </w:r>
      <w:r w:rsidR="002E3109" w:rsidRPr="0085443D">
        <w:rPr>
          <w:rFonts w:cs="Calibri"/>
        </w:rPr>
        <w:t xml:space="preserve"> </w:t>
      </w:r>
      <w:r w:rsidRPr="0085443D">
        <w:rPr>
          <w:rFonts w:cs="Calibri"/>
        </w:rPr>
        <w:t>obzir</w:t>
      </w:r>
      <w:r w:rsidR="002E3109" w:rsidRPr="0085443D">
        <w:rPr>
          <w:rFonts w:cs="Calibri"/>
        </w:rPr>
        <w:t xml:space="preserve"> </w:t>
      </w:r>
      <w:r w:rsidRPr="0085443D">
        <w:rPr>
          <w:rFonts w:cs="Calibri"/>
        </w:rPr>
        <w:t>da</w:t>
      </w:r>
      <w:r w:rsidR="002E3109" w:rsidRPr="0085443D">
        <w:rPr>
          <w:rFonts w:cs="Calibri"/>
        </w:rPr>
        <w:t xml:space="preserve"> </w:t>
      </w:r>
      <w:r w:rsidRPr="0085443D">
        <w:rPr>
          <w:rFonts w:cs="Calibri"/>
        </w:rPr>
        <w:t>su</w:t>
      </w:r>
      <w:r w:rsidR="002E3109" w:rsidRPr="0085443D">
        <w:rPr>
          <w:rFonts w:cs="Calibri"/>
        </w:rPr>
        <w:t xml:space="preserve"> </w:t>
      </w:r>
      <w:r w:rsidRPr="0085443D">
        <w:rPr>
          <w:rFonts w:cs="Calibri"/>
        </w:rPr>
        <w:t>proizvodnja</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prerada</w:t>
      </w:r>
      <w:r w:rsidR="002E3109" w:rsidRPr="0085443D">
        <w:rPr>
          <w:rFonts w:cs="Calibri"/>
        </w:rPr>
        <w:t xml:space="preserve"> </w:t>
      </w:r>
      <w:r w:rsidRPr="0085443D">
        <w:rPr>
          <w:rFonts w:cs="Calibri"/>
        </w:rPr>
        <w:t>asfaltnih</w:t>
      </w:r>
      <w:r w:rsidR="002E3109" w:rsidRPr="0085443D">
        <w:rPr>
          <w:rFonts w:cs="Calibri"/>
        </w:rPr>
        <w:t xml:space="preserve"> </w:t>
      </w:r>
      <w:r w:rsidRPr="0085443D">
        <w:rPr>
          <w:rFonts w:cs="Calibri"/>
        </w:rPr>
        <w:t>sirovina</w:t>
      </w:r>
      <w:r w:rsidR="002E3109" w:rsidRPr="0085443D">
        <w:rPr>
          <w:rFonts w:cs="Calibri"/>
        </w:rPr>
        <w:t xml:space="preserve"> </w:t>
      </w:r>
      <w:r w:rsidRPr="0085443D">
        <w:rPr>
          <w:rFonts w:cs="Calibri"/>
        </w:rPr>
        <w:t>glavni</w:t>
      </w:r>
      <w:r w:rsidR="002E3109" w:rsidRPr="0085443D">
        <w:rPr>
          <w:rFonts w:cs="Calibri"/>
        </w:rPr>
        <w:t xml:space="preserve"> </w:t>
      </w:r>
      <w:r w:rsidRPr="0085443D">
        <w:rPr>
          <w:rFonts w:cs="Calibri"/>
        </w:rPr>
        <w:t>izvori</w:t>
      </w:r>
      <w:r w:rsidR="002E3109" w:rsidRPr="0085443D">
        <w:rPr>
          <w:rFonts w:cs="Calibri"/>
        </w:rPr>
        <w:t xml:space="preserve"> </w:t>
      </w:r>
      <w:r w:rsidRPr="0085443D">
        <w:rPr>
          <w:rFonts w:cs="Calibri"/>
        </w:rPr>
        <w:t>toksičnih</w:t>
      </w:r>
      <w:r w:rsidR="002E3109" w:rsidRPr="0085443D">
        <w:rPr>
          <w:rFonts w:cs="Calibri"/>
        </w:rPr>
        <w:t xml:space="preserve"> </w:t>
      </w:r>
      <w:r w:rsidRPr="0085443D">
        <w:rPr>
          <w:rFonts w:cs="Calibri"/>
        </w:rPr>
        <w:t>organo</w:t>
      </w:r>
      <w:r w:rsidR="002E3109" w:rsidRPr="0085443D">
        <w:rPr>
          <w:rFonts w:cs="Calibri"/>
        </w:rPr>
        <w:t>-</w:t>
      </w:r>
      <w:r w:rsidRPr="0085443D">
        <w:rPr>
          <w:rFonts w:cs="Calibri"/>
        </w:rPr>
        <w:t>hemijskih</w:t>
      </w:r>
      <w:r w:rsidR="002E3109" w:rsidRPr="0085443D">
        <w:rPr>
          <w:rFonts w:cs="Calibri"/>
        </w:rPr>
        <w:t xml:space="preserve"> </w:t>
      </w:r>
      <w:r w:rsidRPr="0085443D">
        <w:rPr>
          <w:rFonts w:cs="Calibri"/>
        </w:rPr>
        <w:t>zagađivača</w:t>
      </w:r>
      <w:r w:rsidR="002E3109" w:rsidRPr="0085443D">
        <w:rPr>
          <w:rFonts w:cs="Calibri"/>
        </w:rPr>
        <w:t xml:space="preserve"> </w:t>
      </w:r>
      <w:r w:rsidRPr="0085443D">
        <w:rPr>
          <w:rFonts w:cs="Calibri"/>
        </w:rPr>
        <w:t>koji</w:t>
      </w:r>
      <w:r w:rsidR="002E3109" w:rsidRPr="0085443D">
        <w:rPr>
          <w:rFonts w:cs="Calibri"/>
        </w:rPr>
        <w:t xml:space="preserve"> </w:t>
      </w:r>
      <w:r w:rsidRPr="0085443D">
        <w:rPr>
          <w:rFonts w:cs="Calibri"/>
        </w:rPr>
        <w:t>štetno</w:t>
      </w:r>
      <w:r w:rsidR="002E3109" w:rsidRPr="0085443D">
        <w:rPr>
          <w:rFonts w:cs="Calibri"/>
        </w:rPr>
        <w:t xml:space="preserve"> </w:t>
      </w:r>
      <w:r w:rsidRPr="0085443D">
        <w:rPr>
          <w:rFonts w:cs="Calibri"/>
        </w:rPr>
        <w:t>djeluju</w:t>
      </w:r>
      <w:r w:rsidR="002E3109" w:rsidRPr="0085443D">
        <w:rPr>
          <w:rFonts w:cs="Calibri"/>
        </w:rPr>
        <w:t xml:space="preserve"> </w:t>
      </w:r>
      <w:r w:rsidRPr="0085443D">
        <w:rPr>
          <w:rFonts w:cs="Calibri"/>
        </w:rPr>
        <w:t>na</w:t>
      </w:r>
      <w:r w:rsidR="002E3109" w:rsidRPr="0085443D">
        <w:rPr>
          <w:rFonts w:cs="Calibri"/>
        </w:rPr>
        <w:t xml:space="preserve"> </w:t>
      </w:r>
      <w:r w:rsidRPr="0085443D">
        <w:rPr>
          <w:rFonts w:cs="Calibri"/>
        </w:rPr>
        <w:t>javno</w:t>
      </w:r>
      <w:r w:rsidR="002E3109" w:rsidRPr="0085443D">
        <w:rPr>
          <w:rFonts w:cs="Calibri"/>
        </w:rPr>
        <w:t xml:space="preserve"> </w:t>
      </w:r>
      <w:r w:rsidRPr="0085443D">
        <w:rPr>
          <w:rFonts w:cs="Calibri"/>
        </w:rPr>
        <w:t>zdravlje</w:t>
      </w:r>
      <w:r w:rsidR="002E3109" w:rsidRPr="0085443D">
        <w:rPr>
          <w:rFonts w:cs="Calibri"/>
        </w:rPr>
        <w:t xml:space="preserve"> </w:t>
      </w:r>
      <w:r w:rsidRPr="0085443D">
        <w:rPr>
          <w:rFonts w:cs="Calibri"/>
        </w:rPr>
        <w:t>lokalnog</w:t>
      </w:r>
      <w:r w:rsidR="002E3109" w:rsidRPr="0085443D">
        <w:rPr>
          <w:rFonts w:cs="Calibri"/>
        </w:rPr>
        <w:t xml:space="preserve"> </w:t>
      </w:r>
      <w:r w:rsidRPr="0085443D">
        <w:rPr>
          <w:rFonts w:cs="Calibri"/>
        </w:rPr>
        <w:t>stanovništva</w:t>
      </w:r>
      <w:r w:rsidR="002E3109" w:rsidRPr="0085443D">
        <w:rPr>
          <w:rFonts w:cs="Calibri"/>
        </w:rPr>
        <w:t xml:space="preserve"> </w:t>
      </w:r>
      <w:r w:rsidRPr="0085443D">
        <w:rPr>
          <w:rFonts w:cs="Calibri"/>
        </w:rPr>
        <w:t>naložene</w:t>
      </w:r>
      <w:r w:rsidR="002E3109" w:rsidRPr="0085443D">
        <w:rPr>
          <w:rFonts w:cs="Calibri"/>
        </w:rPr>
        <w:t xml:space="preserve"> </w:t>
      </w:r>
      <w:r w:rsidRPr="0085443D">
        <w:rPr>
          <w:rFonts w:cs="Calibri"/>
        </w:rPr>
        <w:t>su</w:t>
      </w:r>
      <w:r w:rsidR="002E3109" w:rsidRPr="0085443D">
        <w:rPr>
          <w:rFonts w:cs="Calibri"/>
        </w:rPr>
        <w:t xml:space="preserve"> </w:t>
      </w:r>
      <w:r w:rsidRPr="0085443D">
        <w:rPr>
          <w:rFonts w:cs="Calibri"/>
        </w:rPr>
        <w:t>strožije</w:t>
      </w:r>
      <w:r w:rsidR="002E3109" w:rsidRPr="0085443D">
        <w:rPr>
          <w:rFonts w:cs="Calibri"/>
        </w:rPr>
        <w:t xml:space="preserve"> </w:t>
      </w:r>
      <w:r w:rsidRPr="0085443D">
        <w:rPr>
          <w:rFonts w:cs="Calibri"/>
        </w:rPr>
        <w:t>mjere</w:t>
      </w:r>
      <w:r w:rsidR="002E3109" w:rsidRPr="0085443D">
        <w:rPr>
          <w:rFonts w:cs="Calibri"/>
        </w:rPr>
        <w:t xml:space="preserve"> </w:t>
      </w:r>
      <w:r w:rsidRPr="0085443D">
        <w:rPr>
          <w:rFonts w:cs="Calibri"/>
        </w:rPr>
        <w:t>sprečavanja</w:t>
      </w:r>
      <w:r w:rsidR="002E3109" w:rsidRPr="0085443D">
        <w:rPr>
          <w:rFonts w:cs="Calibri"/>
        </w:rPr>
        <w:t xml:space="preserve"> </w:t>
      </w:r>
      <w:r w:rsidRPr="0085443D">
        <w:rPr>
          <w:rFonts w:cs="Calibri"/>
        </w:rPr>
        <w:t>zagađenja</w:t>
      </w:r>
      <w:r w:rsidR="002E3109" w:rsidRPr="0085443D">
        <w:rPr>
          <w:rFonts w:cs="Calibri"/>
        </w:rPr>
        <w:t xml:space="preserve"> </w:t>
      </w:r>
      <w:r w:rsidRPr="0085443D">
        <w:rPr>
          <w:rFonts w:cs="Calibri"/>
        </w:rPr>
        <w:t>i</w:t>
      </w:r>
      <w:r w:rsidR="002E3109" w:rsidRPr="0085443D">
        <w:rPr>
          <w:rFonts w:cs="Calibri"/>
        </w:rPr>
        <w:t xml:space="preserve"> </w:t>
      </w:r>
      <w:r w:rsidRPr="0085443D">
        <w:rPr>
          <w:rFonts w:cs="Calibri"/>
        </w:rPr>
        <w:t>maksimalna</w:t>
      </w:r>
      <w:r w:rsidR="002E3109" w:rsidRPr="0085443D">
        <w:rPr>
          <w:rFonts w:cs="Calibri"/>
        </w:rPr>
        <w:t xml:space="preserve"> </w:t>
      </w:r>
      <w:r w:rsidRPr="0085443D">
        <w:rPr>
          <w:rFonts w:cs="Calibri"/>
        </w:rPr>
        <w:t>učestalost</w:t>
      </w:r>
      <w:r w:rsidR="002E3109" w:rsidRPr="0085443D">
        <w:rPr>
          <w:rFonts w:cs="Calibri"/>
        </w:rPr>
        <w:t xml:space="preserve"> </w:t>
      </w:r>
      <w:r w:rsidRPr="0085443D">
        <w:rPr>
          <w:rFonts w:cs="Calibri"/>
        </w:rPr>
        <w:t>monitoringa</w:t>
      </w:r>
      <w:r w:rsidR="002E3109" w:rsidRPr="0085443D">
        <w:rPr>
          <w:rFonts w:cs="Calibri"/>
        </w:rPr>
        <w:t xml:space="preserve"> </w:t>
      </w:r>
      <w:r w:rsidRPr="0085443D">
        <w:rPr>
          <w:rFonts w:cs="Calibri"/>
        </w:rPr>
        <w:t>emisija</w:t>
      </w:r>
      <w:r w:rsidR="002E3109" w:rsidRPr="0085443D">
        <w:rPr>
          <w:rFonts w:cs="Calibri"/>
        </w:rPr>
        <w:t>.</w:t>
      </w:r>
    </w:p>
    <w:p w14:paraId="1DDD613C" w14:textId="379D662D" w:rsidR="008C3C51" w:rsidRPr="0085443D" w:rsidRDefault="008C3C51" w:rsidP="00760B2E">
      <w:pPr>
        <w:widowControl w:val="0"/>
        <w:overflowPunct w:val="0"/>
        <w:autoSpaceDE w:val="0"/>
        <w:autoSpaceDN w:val="0"/>
        <w:adjustRightInd w:val="0"/>
        <w:jc w:val="both"/>
        <w:rPr>
          <w:rFonts w:cs="Calibri"/>
        </w:rPr>
      </w:pPr>
      <w:r w:rsidRPr="008C3C51">
        <w:rPr>
          <w:rFonts w:cs="Calibri"/>
          <w:highlight w:val="cyan"/>
        </w:rPr>
        <w:t>Lokalna privreda nema izrazitih zagađivača i većina štetnih uticaja može da dođe iz okruženja, pa je u narednom periodu potrebno raditi na uspostav</w:t>
      </w:r>
      <w:r>
        <w:rPr>
          <w:rFonts w:cs="Calibri"/>
          <w:highlight w:val="cyan"/>
        </w:rPr>
        <w:t>l</w:t>
      </w:r>
      <w:r w:rsidRPr="008C3C51">
        <w:rPr>
          <w:rFonts w:cs="Calibri"/>
          <w:highlight w:val="cyan"/>
        </w:rPr>
        <w:t>janju kapaciteta za praćenje stanja životne sredine.</w:t>
      </w:r>
      <w:r>
        <w:rPr>
          <w:rFonts w:cs="Calibri"/>
        </w:rPr>
        <w:t xml:space="preserve"> </w:t>
      </w:r>
    </w:p>
    <w:p w14:paraId="50776D87" w14:textId="77777777" w:rsidR="002E3109" w:rsidRPr="0085443D" w:rsidRDefault="002E3109" w:rsidP="0069553A">
      <w:pPr>
        <w:spacing w:after="80"/>
        <w:rPr>
          <w:b/>
          <w:i/>
        </w:rPr>
      </w:pPr>
      <w:r w:rsidRPr="0085443D">
        <w:rPr>
          <w:rFonts w:cs="Calibri"/>
        </w:rPr>
        <w:lastRenderedPageBreak/>
        <w:tab/>
      </w:r>
    </w:p>
    <w:p w14:paraId="10B1BD65" w14:textId="77777777" w:rsidR="003B497A" w:rsidRPr="0085443D" w:rsidRDefault="003B497A" w:rsidP="003B497A">
      <w:pPr>
        <w:spacing w:after="80"/>
        <w:rPr>
          <w:b/>
          <w:i/>
        </w:rPr>
      </w:pPr>
      <w:r w:rsidRPr="0085443D">
        <w:rPr>
          <w:b/>
          <w:i/>
        </w:rPr>
        <w:t>Rizici od prirodnih i drugih opasnosti</w:t>
      </w:r>
    </w:p>
    <w:p w14:paraId="0DBB8E02" w14:textId="77777777" w:rsidR="008E29B3" w:rsidRDefault="007B3DED" w:rsidP="00C17C49">
      <w:pPr>
        <w:jc w:val="both"/>
      </w:pPr>
      <w:r w:rsidRPr="0085443D">
        <w:t>Procjenom</w:t>
      </w:r>
      <w:r w:rsidR="00573C07" w:rsidRPr="0085443D">
        <w:t xml:space="preserve"> </w:t>
      </w:r>
      <w:r w:rsidRPr="0085443D">
        <w:t>ugroženosti</w:t>
      </w:r>
      <w:r w:rsidR="00573C07" w:rsidRPr="0085443D">
        <w:t xml:space="preserve"> </w:t>
      </w:r>
      <w:r w:rsidRPr="0085443D">
        <w:t>od</w:t>
      </w:r>
      <w:r w:rsidR="00573C07" w:rsidRPr="0085443D">
        <w:t xml:space="preserve"> </w:t>
      </w:r>
      <w:r w:rsidRPr="0085443D">
        <w:t>elementarne</w:t>
      </w:r>
      <w:r w:rsidR="00573C07" w:rsidRPr="0085443D">
        <w:t xml:space="preserve"> </w:t>
      </w:r>
      <w:r w:rsidRPr="0085443D">
        <w:t>nepogode</w:t>
      </w:r>
      <w:r w:rsidR="00573C07" w:rsidRPr="0085443D">
        <w:t xml:space="preserve"> </w:t>
      </w:r>
      <w:r w:rsidRPr="0085443D">
        <w:t>i</w:t>
      </w:r>
      <w:r w:rsidR="00573C07" w:rsidRPr="0085443D">
        <w:t xml:space="preserve"> </w:t>
      </w:r>
      <w:r w:rsidRPr="0085443D">
        <w:t>druge</w:t>
      </w:r>
      <w:r w:rsidR="00573C07" w:rsidRPr="0085443D">
        <w:t xml:space="preserve"> </w:t>
      </w:r>
      <w:r w:rsidRPr="0085443D">
        <w:t>nesreće</w:t>
      </w:r>
      <w:r w:rsidR="00573C07" w:rsidRPr="0085443D">
        <w:t xml:space="preserve"> </w:t>
      </w:r>
      <w:r w:rsidRPr="0085443D">
        <w:t>opštine</w:t>
      </w:r>
      <w:r w:rsidR="00573C07" w:rsidRPr="0085443D">
        <w:t xml:space="preserve"> </w:t>
      </w:r>
      <w:r w:rsidRPr="0085443D">
        <w:t>Prnjavor</w:t>
      </w:r>
      <w:r w:rsidR="00573C07" w:rsidRPr="0085443D">
        <w:t xml:space="preserve">, </w:t>
      </w:r>
      <w:r w:rsidRPr="0085443D">
        <w:t>metodologijom</w:t>
      </w:r>
      <w:r w:rsidR="00573C07" w:rsidRPr="0085443D">
        <w:t xml:space="preserve"> </w:t>
      </w:r>
      <w:r w:rsidRPr="0085443D">
        <w:t>riziko</w:t>
      </w:r>
      <w:r w:rsidR="00573C07" w:rsidRPr="0085443D">
        <w:t>-</w:t>
      </w:r>
      <w:r w:rsidRPr="0085443D">
        <w:t>baziranog</w:t>
      </w:r>
      <w:r w:rsidR="00573C07" w:rsidRPr="0085443D">
        <w:t xml:space="preserve"> </w:t>
      </w:r>
      <w:r w:rsidRPr="0085443D">
        <w:t>dimenzioniranja</w:t>
      </w:r>
      <w:r w:rsidR="00573C07" w:rsidRPr="0085443D">
        <w:t xml:space="preserve">, </w:t>
      </w:r>
      <w:r w:rsidRPr="0085443D">
        <w:t>identifikovane</w:t>
      </w:r>
      <w:r w:rsidR="00573C07" w:rsidRPr="0085443D">
        <w:t xml:space="preserve"> </w:t>
      </w:r>
      <w:r w:rsidRPr="0085443D">
        <w:t>su</w:t>
      </w:r>
      <w:r w:rsidR="00573C07" w:rsidRPr="0085443D">
        <w:t xml:space="preserve"> </w:t>
      </w:r>
      <w:r w:rsidRPr="0085443D">
        <w:t>sledeće</w:t>
      </w:r>
      <w:r w:rsidR="00573C07" w:rsidRPr="0085443D">
        <w:t xml:space="preserve"> </w:t>
      </w:r>
      <w:r w:rsidRPr="0085443D">
        <w:t>opasnosti</w:t>
      </w:r>
      <w:r w:rsidR="00573C07" w:rsidRPr="0085443D">
        <w:t>-</w:t>
      </w:r>
      <w:r w:rsidRPr="0085443D">
        <w:t>rizici</w:t>
      </w:r>
      <w:r w:rsidR="00573C07" w:rsidRPr="0085443D">
        <w:t xml:space="preserve">: </w:t>
      </w:r>
      <w:r w:rsidRPr="0085443D">
        <w:t>zemljotresi</w:t>
      </w:r>
      <w:r w:rsidR="00573C07" w:rsidRPr="0085443D">
        <w:t xml:space="preserve">, </w:t>
      </w:r>
      <w:r w:rsidRPr="0085443D">
        <w:t>poplave</w:t>
      </w:r>
      <w:r w:rsidR="00573C07" w:rsidRPr="0085443D">
        <w:t xml:space="preserve">, </w:t>
      </w:r>
      <w:r w:rsidRPr="0085443D">
        <w:t>klizanje</w:t>
      </w:r>
      <w:r w:rsidR="00573C07" w:rsidRPr="0085443D">
        <w:t xml:space="preserve"> </w:t>
      </w:r>
      <w:r w:rsidRPr="0085443D">
        <w:t>i</w:t>
      </w:r>
      <w:r w:rsidR="00573C07" w:rsidRPr="0085443D">
        <w:t xml:space="preserve"> </w:t>
      </w:r>
      <w:r w:rsidRPr="0085443D">
        <w:t>odronjavanje</w:t>
      </w:r>
      <w:r w:rsidR="00573C07" w:rsidRPr="0085443D">
        <w:t xml:space="preserve"> </w:t>
      </w:r>
      <w:r w:rsidRPr="0085443D">
        <w:t>zemljišta</w:t>
      </w:r>
      <w:r w:rsidR="00573C07" w:rsidRPr="0085443D">
        <w:t xml:space="preserve">, </w:t>
      </w:r>
      <w:r w:rsidRPr="0085443D">
        <w:t>visoki</w:t>
      </w:r>
      <w:r w:rsidR="00573C07" w:rsidRPr="0085443D">
        <w:t xml:space="preserve"> </w:t>
      </w:r>
      <w:r w:rsidRPr="0085443D">
        <w:t>snijeg</w:t>
      </w:r>
      <w:r w:rsidR="00573C07" w:rsidRPr="0085443D">
        <w:t xml:space="preserve"> </w:t>
      </w:r>
      <w:r w:rsidRPr="0085443D">
        <w:t>i</w:t>
      </w:r>
      <w:r w:rsidR="00573C07" w:rsidRPr="0085443D">
        <w:t xml:space="preserve"> </w:t>
      </w:r>
      <w:r w:rsidRPr="0085443D">
        <w:t>snježni</w:t>
      </w:r>
      <w:r w:rsidR="00573C07" w:rsidRPr="0085443D">
        <w:t xml:space="preserve"> </w:t>
      </w:r>
      <w:r w:rsidRPr="0085443D">
        <w:t>nanosi</w:t>
      </w:r>
      <w:r w:rsidR="00573C07" w:rsidRPr="0085443D">
        <w:t xml:space="preserve">, </w:t>
      </w:r>
      <w:r w:rsidRPr="0085443D">
        <w:t>epidemija</w:t>
      </w:r>
      <w:r w:rsidR="00573C07" w:rsidRPr="0085443D">
        <w:t xml:space="preserve"> </w:t>
      </w:r>
      <w:r w:rsidRPr="0085443D">
        <w:t>zaraznih</w:t>
      </w:r>
      <w:r w:rsidR="00573C07" w:rsidRPr="0085443D">
        <w:t xml:space="preserve"> </w:t>
      </w:r>
      <w:r w:rsidRPr="0085443D">
        <w:t>bolesti</w:t>
      </w:r>
      <w:r w:rsidR="00573C07" w:rsidRPr="0085443D">
        <w:t xml:space="preserve">, </w:t>
      </w:r>
      <w:r w:rsidRPr="0085443D">
        <w:t>suše</w:t>
      </w:r>
      <w:r w:rsidR="00573C07" w:rsidRPr="0085443D">
        <w:t xml:space="preserve">, </w:t>
      </w:r>
      <w:r w:rsidRPr="0085443D">
        <w:t>visoke</w:t>
      </w:r>
      <w:r w:rsidR="00573C07" w:rsidRPr="0085443D">
        <w:t xml:space="preserve"> </w:t>
      </w:r>
      <w:r w:rsidRPr="0085443D">
        <w:t>i</w:t>
      </w:r>
      <w:r w:rsidR="00573C07" w:rsidRPr="0085443D">
        <w:t xml:space="preserve"> </w:t>
      </w:r>
      <w:r w:rsidRPr="0085443D">
        <w:t>niske</w:t>
      </w:r>
      <w:r w:rsidR="00573C07" w:rsidRPr="0085443D">
        <w:t xml:space="preserve"> </w:t>
      </w:r>
      <w:r w:rsidRPr="0085443D">
        <w:t>temperature</w:t>
      </w:r>
      <w:r w:rsidR="00573C07" w:rsidRPr="0085443D">
        <w:t xml:space="preserve"> </w:t>
      </w:r>
      <w:r w:rsidRPr="0085443D">
        <w:t>i</w:t>
      </w:r>
      <w:r w:rsidR="00573C07" w:rsidRPr="0085443D">
        <w:t xml:space="preserve"> </w:t>
      </w:r>
      <w:r w:rsidRPr="0085443D">
        <w:t>pojave</w:t>
      </w:r>
      <w:r w:rsidR="00573C07" w:rsidRPr="0085443D">
        <w:t xml:space="preserve"> </w:t>
      </w:r>
      <w:r w:rsidRPr="0085443D">
        <w:t>mraza</w:t>
      </w:r>
      <w:r w:rsidR="00573C07" w:rsidRPr="0085443D">
        <w:t xml:space="preserve">, </w:t>
      </w:r>
      <w:r w:rsidRPr="0085443D">
        <w:t>prolom</w:t>
      </w:r>
      <w:r w:rsidR="00573C07" w:rsidRPr="0085443D">
        <w:t xml:space="preserve"> </w:t>
      </w:r>
      <w:r w:rsidRPr="0085443D">
        <w:t>oblaka</w:t>
      </w:r>
      <w:r w:rsidR="00573C07" w:rsidRPr="0085443D">
        <w:t xml:space="preserve">, </w:t>
      </w:r>
      <w:r w:rsidRPr="0085443D">
        <w:t>olujni</w:t>
      </w:r>
      <w:r w:rsidR="00573C07" w:rsidRPr="0085443D">
        <w:t xml:space="preserve"> </w:t>
      </w:r>
      <w:r w:rsidRPr="0085443D">
        <w:t>vjetar</w:t>
      </w:r>
      <w:r w:rsidR="00573C07" w:rsidRPr="0085443D">
        <w:t xml:space="preserve"> </w:t>
      </w:r>
      <w:r w:rsidRPr="0085443D">
        <w:t>i</w:t>
      </w:r>
      <w:r w:rsidR="00573C07" w:rsidRPr="0085443D">
        <w:t xml:space="preserve"> </w:t>
      </w:r>
      <w:r w:rsidRPr="0085443D">
        <w:t>grad</w:t>
      </w:r>
      <w:r w:rsidR="00573C07" w:rsidRPr="0085443D">
        <w:t xml:space="preserve">, </w:t>
      </w:r>
      <w:r w:rsidRPr="0085443D">
        <w:t>toplotni</w:t>
      </w:r>
      <w:r w:rsidR="00573C07" w:rsidRPr="0085443D">
        <w:t xml:space="preserve"> </w:t>
      </w:r>
      <w:r w:rsidRPr="0085443D">
        <w:t>talasi</w:t>
      </w:r>
      <w:r w:rsidR="00573C07" w:rsidRPr="0085443D">
        <w:t xml:space="preserve">, </w:t>
      </w:r>
      <w:r w:rsidRPr="0085443D">
        <w:t>veliki</w:t>
      </w:r>
      <w:r w:rsidR="00573C07" w:rsidRPr="0085443D">
        <w:t xml:space="preserve"> </w:t>
      </w:r>
      <w:r w:rsidRPr="0085443D">
        <w:t>požari</w:t>
      </w:r>
      <w:r w:rsidR="00573C07" w:rsidRPr="0085443D">
        <w:t xml:space="preserve">, </w:t>
      </w:r>
      <w:r w:rsidRPr="0085443D">
        <w:t>rušenje</w:t>
      </w:r>
      <w:r w:rsidR="00573C07" w:rsidRPr="0085443D">
        <w:t xml:space="preserve"> </w:t>
      </w:r>
      <w:r w:rsidRPr="0085443D">
        <w:t>ili</w:t>
      </w:r>
      <w:r w:rsidR="00573C07" w:rsidRPr="0085443D">
        <w:t xml:space="preserve"> </w:t>
      </w:r>
      <w:r w:rsidRPr="0085443D">
        <w:t>prelivanje</w:t>
      </w:r>
      <w:r w:rsidR="00573C07" w:rsidRPr="0085443D">
        <w:t xml:space="preserve"> </w:t>
      </w:r>
      <w:r w:rsidRPr="0085443D">
        <w:t>brana</w:t>
      </w:r>
      <w:r w:rsidR="00573C07" w:rsidRPr="0085443D">
        <w:t xml:space="preserve"> </w:t>
      </w:r>
      <w:r w:rsidRPr="0085443D">
        <w:t>na</w:t>
      </w:r>
      <w:r w:rsidR="00573C07" w:rsidRPr="0085443D">
        <w:t xml:space="preserve"> </w:t>
      </w:r>
      <w:r w:rsidRPr="0085443D">
        <w:t>akumulacijama</w:t>
      </w:r>
      <w:r w:rsidR="00573C07" w:rsidRPr="0085443D">
        <w:t xml:space="preserve">, </w:t>
      </w:r>
      <w:r w:rsidRPr="0085443D">
        <w:t>ekspanzija</w:t>
      </w:r>
      <w:r w:rsidR="00573C07" w:rsidRPr="0085443D">
        <w:t xml:space="preserve"> </w:t>
      </w:r>
      <w:r w:rsidRPr="0085443D">
        <w:t>ili</w:t>
      </w:r>
      <w:r w:rsidR="00573C07" w:rsidRPr="0085443D">
        <w:t xml:space="preserve"> </w:t>
      </w:r>
      <w:r w:rsidRPr="0085443D">
        <w:t>eksplozija</w:t>
      </w:r>
      <w:r w:rsidR="00573C07" w:rsidRPr="0085443D">
        <w:t xml:space="preserve"> </w:t>
      </w:r>
      <w:r w:rsidRPr="0085443D">
        <w:t>gasova</w:t>
      </w:r>
      <w:r w:rsidR="00573C07" w:rsidRPr="0085443D">
        <w:t xml:space="preserve"> </w:t>
      </w:r>
      <w:r w:rsidRPr="0085443D">
        <w:t>i</w:t>
      </w:r>
      <w:r w:rsidR="00573C07" w:rsidRPr="0085443D">
        <w:t xml:space="preserve"> </w:t>
      </w:r>
      <w:r w:rsidRPr="0085443D">
        <w:t>opasnih</w:t>
      </w:r>
      <w:r w:rsidR="00573C07" w:rsidRPr="0085443D">
        <w:t xml:space="preserve"> </w:t>
      </w:r>
      <w:r w:rsidRPr="0085443D">
        <w:t>materija</w:t>
      </w:r>
      <w:r w:rsidR="00573C07" w:rsidRPr="0085443D">
        <w:t xml:space="preserve">, </w:t>
      </w:r>
      <w:r w:rsidRPr="0085443D">
        <w:t>radioaktivno</w:t>
      </w:r>
      <w:r w:rsidR="00573C07" w:rsidRPr="0085443D">
        <w:t xml:space="preserve"> </w:t>
      </w:r>
      <w:r w:rsidRPr="0085443D">
        <w:t>i</w:t>
      </w:r>
      <w:r w:rsidR="00573C07" w:rsidRPr="0085443D">
        <w:t xml:space="preserve"> </w:t>
      </w:r>
      <w:r w:rsidRPr="0085443D">
        <w:t>drugo</w:t>
      </w:r>
      <w:r w:rsidR="00573C07" w:rsidRPr="0085443D">
        <w:t xml:space="preserve"> </w:t>
      </w:r>
      <w:r w:rsidRPr="0085443D">
        <w:t>zagađenje</w:t>
      </w:r>
      <w:r w:rsidR="00573C07" w:rsidRPr="0085443D">
        <w:t xml:space="preserve"> </w:t>
      </w:r>
      <w:r w:rsidRPr="0085443D">
        <w:t>vazduha</w:t>
      </w:r>
      <w:r w:rsidR="00573C07" w:rsidRPr="0085443D">
        <w:t xml:space="preserve">, </w:t>
      </w:r>
      <w:r w:rsidRPr="0085443D">
        <w:t>vode</w:t>
      </w:r>
      <w:r w:rsidR="00573C07" w:rsidRPr="0085443D">
        <w:t xml:space="preserve"> </w:t>
      </w:r>
      <w:r w:rsidRPr="0085443D">
        <w:t>i</w:t>
      </w:r>
      <w:r w:rsidR="00573C07" w:rsidRPr="0085443D">
        <w:t xml:space="preserve"> </w:t>
      </w:r>
      <w:r w:rsidRPr="0085443D">
        <w:t>tla</w:t>
      </w:r>
      <w:r w:rsidR="00573C07" w:rsidRPr="0085443D">
        <w:t xml:space="preserve">, </w:t>
      </w:r>
      <w:r w:rsidRPr="0085443D">
        <w:t>neeksplodirana</w:t>
      </w:r>
      <w:r w:rsidR="00573C07" w:rsidRPr="0085443D">
        <w:t xml:space="preserve"> </w:t>
      </w:r>
      <w:r w:rsidRPr="0085443D">
        <w:t>ubojna</w:t>
      </w:r>
      <w:r w:rsidR="00573C07" w:rsidRPr="0085443D">
        <w:t xml:space="preserve"> </w:t>
      </w:r>
      <w:r w:rsidRPr="0085443D">
        <w:t>sredstva</w:t>
      </w:r>
      <w:r w:rsidR="00573C07" w:rsidRPr="0085443D">
        <w:t xml:space="preserve"> </w:t>
      </w:r>
      <w:r w:rsidRPr="0085443D">
        <w:t>i</w:t>
      </w:r>
      <w:r w:rsidR="00573C07" w:rsidRPr="0085443D">
        <w:t xml:space="preserve"> </w:t>
      </w:r>
      <w:r w:rsidRPr="0085443D">
        <w:t>mine</w:t>
      </w:r>
      <w:r w:rsidR="00573C07" w:rsidRPr="0085443D">
        <w:t xml:space="preserve">, </w:t>
      </w:r>
      <w:r w:rsidRPr="0085443D">
        <w:t>velike</w:t>
      </w:r>
      <w:r w:rsidR="00573C07" w:rsidRPr="0085443D">
        <w:t xml:space="preserve"> </w:t>
      </w:r>
      <w:r w:rsidRPr="0085443D">
        <w:t>nesreće</w:t>
      </w:r>
      <w:r w:rsidR="00573C07" w:rsidRPr="0085443D">
        <w:t xml:space="preserve"> </w:t>
      </w:r>
      <w:r w:rsidRPr="0085443D">
        <w:t>u</w:t>
      </w:r>
      <w:r w:rsidR="00573C07" w:rsidRPr="0085443D">
        <w:t xml:space="preserve"> </w:t>
      </w:r>
      <w:r w:rsidRPr="0085443D">
        <w:t>drumskom</w:t>
      </w:r>
      <w:r w:rsidR="00573C07" w:rsidRPr="0085443D">
        <w:t xml:space="preserve"> </w:t>
      </w:r>
      <w:r w:rsidRPr="0085443D">
        <w:t>saobraćaju</w:t>
      </w:r>
      <w:r w:rsidR="00573C07" w:rsidRPr="0085443D">
        <w:t xml:space="preserve"> </w:t>
      </w:r>
      <w:r w:rsidRPr="0085443D">
        <w:t>i</w:t>
      </w:r>
      <w:r w:rsidR="00573C07" w:rsidRPr="0085443D">
        <w:t xml:space="preserve"> </w:t>
      </w:r>
      <w:r w:rsidRPr="0085443D">
        <w:t>ratna</w:t>
      </w:r>
      <w:r w:rsidR="00573C07" w:rsidRPr="0085443D">
        <w:t xml:space="preserve"> </w:t>
      </w:r>
      <w:r w:rsidRPr="0085443D">
        <w:t>dejstva</w:t>
      </w:r>
      <w:r w:rsidR="00573C07" w:rsidRPr="0085443D">
        <w:t xml:space="preserve">. </w:t>
      </w:r>
    </w:p>
    <w:p w14:paraId="6F438CAF" w14:textId="77777777" w:rsidR="008E29B3" w:rsidRDefault="008E29B3" w:rsidP="00C17C49">
      <w:pPr>
        <w:jc w:val="both"/>
      </w:pPr>
    </w:p>
    <w:p w14:paraId="0D790AFE" w14:textId="223FBFBF" w:rsidR="00573C07" w:rsidRPr="0085443D" w:rsidRDefault="007B3DED" w:rsidP="00C17C49">
      <w:pPr>
        <w:jc w:val="both"/>
      </w:pPr>
      <w:r w:rsidRPr="0085443D">
        <w:t>Izvršenom</w:t>
      </w:r>
      <w:r w:rsidR="00573C07" w:rsidRPr="0085443D">
        <w:t xml:space="preserve"> </w:t>
      </w:r>
      <w:r w:rsidRPr="0085443D">
        <w:t>analizom</w:t>
      </w:r>
      <w:r w:rsidR="00573C07" w:rsidRPr="0085443D">
        <w:t xml:space="preserve"> </w:t>
      </w:r>
      <w:r w:rsidRPr="0085443D">
        <w:t>rizika</w:t>
      </w:r>
      <w:r w:rsidR="00573C07" w:rsidRPr="0085443D">
        <w:t xml:space="preserve">, </w:t>
      </w:r>
      <w:r w:rsidRPr="0085443D">
        <w:t>kao</w:t>
      </w:r>
      <w:r w:rsidR="00573C07" w:rsidRPr="0085443D">
        <w:t xml:space="preserve"> </w:t>
      </w:r>
      <w:r w:rsidRPr="0085443D">
        <w:t>latentne</w:t>
      </w:r>
      <w:r w:rsidR="00573C07" w:rsidRPr="0085443D">
        <w:t xml:space="preserve"> </w:t>
      </w:r>
      <w:r w:rsidRPr="0085443D">
        <w:t>opasnosti</w:t>
      </w:r>
      <w:r w:rsidR="00573C07" w:rsidRPr="0085443D">
        <w:t xml:space="preserve"> </w:t>
      </w:r>
      <w:r w:rsidRPr="0085443D">
        <w:t>izdvajaju</w:t>
      </w:r>
      <w:r w:rsidR="00573C07" w:rsidRPr="0085443D">
        <w:t xml:space="preserve"> </w:t>
      </w:r>
      <w:r w:rsidRPr="0085443D">
        <w:t>se</w:t>
      </w:r>
      <w:r w:rsidR="00573C07" w:rsidRPr="0085443D">
        <w:t xml:space="preserve"> </w:t>
      </w:r>
      <w:r w:rsidRPr="0085443D">
        <w:t>zemljotres</w:t>
      </w:r>
      <w:r w:rsidR="00573C07" w:rsidRPr="0085443D">
        <w:t xml:space="preserve">, </w:t>
      </w:r>
      <w:r w:rsidRPr="0085443D">
        <w:t>poplave</w:t>
      </w:r>
      <w:r w:rsidR="00573C07" w:rsidRPr="0085443D">
        <w:t xml:space="preserve">, </w:t>
      </w:r>
      <w:r w:rsidRPr="0085443D">
        <w:t>požari</w:t>
      </w:r>
      <w:r w:rsidR="00573C07" w:rsidRPr="0085443D">
        <w:t xml:space="preserve"> </w:t>
      </w:r>
      <w:r w:rsidRPr="0085443D">
        <w:t>i</w:t>
      </w:r>
      <w:r w:rsidR="00573C07" w:rsidRPr="0085443D">
        <w:t xml:space="preserve"> </w:t>
      </w:r>
      <w:r w:rsidRPr="0085443D">
        <w:t>klizanje</w:t>
      </w:r>
      <w:r w:rsidR="00573C07" w:rsidRPr="0085443D">
        <w:t xml:space="preserve"> </w:t>
      </w:r>
      <w:r w:rsidRPr="0085443D">
        <w:t>i</w:t>
      </w:r>
      <w:r w:rsidR="00573C07" w:rsidRPr="0085443D">
        <w:t xml:space="preserve"> </w:t>
      </w:r>
      <w:r w:rsidRPr="0085443D">
        <w:t>odronjavanje</w:t>
      </w:r>
      <w:r w:rsidR="00573C07" w:rsidRPr="0085443D">
        <w:t xml:space="preserve"> </w:t>
      </w:r>
      <w:r w:rsidRPr="0085443D">
        <w:t>zemljišta</w:t>
      </w:r>
      <w:r w:rsidR="00573C07" w:rsidRPr="0085443D">
        <w:t>.</w:t>
      </w:r>
      <w:r w:rsidR="00043C8F" w:rsidRPr="0085443D">
        <w:t xml:space="preserve"> </w:t>
      </w:r>
      <w:r w:rsidRPr="0085443D">
        <w:t>Opasnost</w:t>
      </w:r>
      <w:r w:rsidR="00573C07" w:rsidRPr="0085443D">
        <w:t xml:space="preserve"> </w:t>
      </w:r>
      <w:r w:rsidRPr="0085443D">
        <w:t>od</w:t>
      </w:r>
      <w:r w:rsidR="00573C07" w:rsidRPr="0085443D">
        <w:t xml:space="preserve"> </w:t>
      </w:r>
      <w:r w:rsidRPr="0085443D">
        <w:t>zemljotresa</w:t>
      </w:r>
      <w:r w:rsidR="00573C07" w:rsidRPr="0085443D">
        <w:t xml:space="preserve"> </w:t>
      </w:r>
      <w:r w:rsidRPr="0085443D">
        <w:t>proističe</w:t>
      </w:r>
      <w:r w:rsidR="00573C07" w:rsidRPr="0085443D">
        <w:t xml:space="preserve"> </w:t>
      </w:r>
      <w:r w:rsidRPr="0085443D">
        <w:t>iz</w:t>
      </w:r>
      <w:r w:rsidR="00573C07" w:rsidRPr="0085443D">
        <w:t xml:space="preserve"> </w:t>
      </w:r>
      <w:r w:rsidRPr="0085443D">
        <w:t>činjenice</w:t>
      </w:r>
      <w:r w:rsidR="00573C07" w:rsidRPr="0085443D">
        <w:t xml:space="preserve"> </w:t>
      </w:r>
      <w:r w:rsidRPr="0085443D">
        <w:t>da</w:t>
      </w:r>
      <w:r w:rsidR="00573C07" w:rsidRPr="0085443D">
        <w:t xml:space="preserve"> </w:t>
      </w:r>
      <w:r w:rsidRPr="0085443D">
        <w:t>cjelokupna</w:t>
      </w:r>
      <w:r w:rsidR="00573C07" w:rsidRPr="0085443D">
        <w:t xml:space="preserve"> </w:t>
      </w:r>
      <w:r w:rsidRPr="0085443D">
        <w:t>teritorija</w:t>
      </w:r>
      <w:r w:rsidR="00573C07" w:rsidRPr="0085443D">
        <w:t xml:space="preserve"> </w:t>
      </w:r>
      <w:r w:rsidRPr="0085443D">
        <w:t>opštine</w:t>
      </w:r>
      <w:r w:rsidR="00573C07" w:rsidRPr="0085443D">
        <w:t xml:space="preserve"> </w:t>
      </w:r>
      <w:r w:rsidRPr="0085443D">
        <w:t>Prnjavor</w:t>
      </w:r>
      <w:r w:rsidR="00573C07" w:rsidRPr="0085443D">
        <w:t xml:space="preserve"> </w:t>
      </w:r>
      <w:r w:rsidRPr="0085443D">
        <w:t>spada</w:t>
      </w:r>
      <w:r w:rsidR="00573C07" w:rsidRPr="0085443D">
        <w:t xml:space="preserve"> </w:t>
      </w:r>
      <w:r w:rsidRPr="0085443D">
        <w:t>u</w:t>
      </w:r>
      <w:r w:rsidR="00573C07" w:rsidRPr="0085443D">
        <w:t xml:space="preserve"> </w:t>
      </w:r>
      <w:r w:rsidR="00043C8F" w:rsidRPr="0085443D">
        <w:t>b</w:t>
      </w:r>
      <w:r w:rsidRPr="0085443D">
        <w:t>anjalučko</w:t>
      </w:r>
      <w:r w:rsidR="00573C07" w:rsidRPr="0085443D">
        <w:t xml:space="preserve"> </w:t>
      </w:r>
      <w:r w:rsidRPr="0085443D">
        <w:t>seizmogeno</w:t>
      </w:r>
      <w:r w:rsidR="00573C07" w:rsidRPr="0085443D">
        <w:t xml:space="preserve"> </w:t>
      </w:r>
      <w:r w:rsidRPr="0085443D">
        <w:t>područje</w:t>
      </w:r>
      <w:r w:rsidR="00573C07" w:rsidRPr="0085443D">
        <w:t xml:space="preserve"> </w:t>
      </w:r>
      <w:r w:rsidRPr="0085443D">
        <w:t>koje</w:t>
      </w:r>
      <w:r w:rsidR="00573C07" w:rsidRPr="0085443D">
        <w:t xml:space="preserve"> </w:t>
      </w:r>
      <w:r w:rsidRPr="0085443D">
        <w:t>je</w:t>
      </w:r>
      <w:r w:rsidR="00573C07" w:rsidRPr="0085443D">
        <w:t xml:space="preserve"> </w:t>
      </w:r>
      <w:r w:rsidRPr="0085443D">
        <w:t>seizmički</w:t>
      </w:r>
      <w:r w:rsidR="00573C07" w:rsidRPr="0085443D">
        <w:t xml:space="preserve"> </w:t>
      </w:r>
      <w:r w:rsidRPr="0085443D">
        <w:t>jedno</w:t>
      </w:r>
      <w:r w:rsidR="00573C07" w:rsidRPr="0085443D">
        <w:t xml:space="preserve"> </w:t>
      </w:r>
      <w:r w:rsidRPr="0085443D">
        <w:t>od</w:t>
      </w:r>
      <w:r w:rsidR="00573C07" w:rsidRPr="0085443D">
        <w:t xml:space="preserve"> </w:t>
      </w:r>
      <w:r w:rsidRPr="0085443D">
        <w:t>najaktivnijih</w:t>
      </w:r>
      <w:r w:rsidR="00573C07" w:rsidRPr="0085443D">
        <w:t xml:space="preserve">, </w:t>
      </w:r>
      <w:r w:rsidRPr="0085443D">
        <w:t>a</w:t>
      </w:r>
      <w:r w:rsidR="00573C07" w:rsidRPr="0085443D">
        <w:t xml:space="preserve"> </w:t>
      </w:r>
      <w:r w:rsidRPr="0085443D">
        <w:t>isto</w:t>
      </w:r>
      <w:r w:rsidR="00573C07" w:rsidRPr="0085443D">
        <w:t xml:space="preserve"> </w:t>
      </w:r>
      <w:r w:rsidRPr="0085443D">
        <w:t>tako</w:t>
      </w:r>
      <w:r w:rsidR="00573C07" w:rsidRPr="0085443D">
        <w:t xml:space="preserve"> </w:t>
      </w:r>
      <w:r w:rsidRPr="0085443D">
        <w:t>opština</w:t>
      </w:r>
      <w:r w:rsidR="00573C07" w:rsidRPr="0085443D">
        <w:t xml:space="preserve"> </w:t>
      </w:r>
      <w:r w:rsidRPr="0085443D">
        <w:t>Prnjavor</w:t>
      </w:r>
      <w:r w:rsidR="00573C07" w:rsidRPr="0085443D">
        <w:t xml:space="preserve"> </w:t>
      </w:r>
      <w:r w:rsidRPr="0085443D">
        <w:t>spada</w:t>
      </w:r>
      <w:r w:rsidR="00573C07" w:rsidRPr="0085443D">
        <w:t xml:space="preserve"> </w:t>
      </w:r>
      <w:r w:rsidRPr="0085443D">
        <w:t>u</w:t>
      </w:r>
      <w:r w:rsidR="00573C07" w:rsidRPr="0085443D">
        <w:t xml:space="preserve"> </w:t>
      </w:r>
      <w:r w:rsidRPr="0085443D">
        <w:t>red</w:t>
      </w:r>
      <w:r w:rsidR="00573C07" w:rsidRPr="0085443D">
        <w:t xml:space="preserve"> </w:t>
      </w:r>
      <w:r w:rsidRPr="0085443D">
        <w:t>teritorija</w:t>
      </w:r>
      <w:r w:rsidR="00573C07" w:rsidRPr="0085443D">
        <w:t xml:space="preserve"> </w:t>
      </w:r>
      <w:r w:rsidRPr="0085443D">
        <w:t>najugroženijih</w:t>
      </w:r>
      <w:r w:rsidR="00573C07" w:rsidRPr="0085443D">
        <w:t xml:space="preserve"> </w:t>
      </w:r>
      <w:r w:rsidRPr="0085443D">
        <w:t>procesom</w:t>
      </w:r>
      <w:r w:rsidR="00573C07" w:rsidRPr="0085443D">
        <w:t xml:space="preserve"> </w:t>
      </w:r>
      <w:r w:rsidRPr="0085443D">
        <w:t>klizanja</w:t>
      </w:r>
      <w:r w:rsidR="00573C07" w:rsidRPr="0085443D">
        <w:t xml:space="preserve"> </w:t>
      </w:r>
      <w:r w:rsidRPr="0085443D">
        <w:t>zemljišta</w:t>
      </w:r>
      <w:r w:rsidR="00573C07" w:rsidRPr="0085443D">
        <w:t xml:space="preserve"> </w:t>
      </w:r>
      <w:r w:rsidRPr="0085443D">
        <w:t>u</w:t>
      </w:r>
      <w:r w:rsidR="00573C07" w:rsidRPr="0085443D">
        <w:t xml:space="preserve"> </w:t>
      </w:r>
      <w:r w:rsidR="00043C8F" w:rsidRPr="0085443D">
        <w:t>RS</w:t>
      </w:r>
      <w:r w:rsidR="00573C07" w:rsidRPr="0085443D">
        <w:t xml:space="preserve">. </w:t>
      </w:r>
      <w:r w:rsidRPr="0085443D">
        <w:t>Do</w:t>
      </w:r>
      <w:r w:rsidR="00573C07" w:rsidRPr="0085443D">
        <w:t xml:space="preserve"> </w:t>
      </w:r>
      <w:r w:rsidRPr="0085443D">
        <w:t>sada</w:t>
      </w:r>
      <w:r w:rsidR="00573C07" w:rsidRPr="0085443D">
        <w:t xml:space="preserve"> </w:t>
      </w:r>
      <w:r w:rsidRPr="0085443D">
        <w:t>je</w:t>
      </w:r>
      <w:r w:rsidR="00573C07" w:rsidRPr="0085443D">
        <w:t xml:space="preserve"> </w:t>
      </w:r>
      <w:r w:rsidRPr="0085443D">
        <w:t>evidentirano</w:t>
      </w:r>
      <w:r w:rsidR="00573C07" w:rsidRPr="0085443D">
        <w:t xml:space="preserve"> 136 </w:t>
      </w:r>
      <w:r w:rsidRPr="0085443D">
        <w:t>klizišta</w:t>
      </w:r>
      <w:r w:rsidR="00573C07" w:rsidRPr="0085443D">
        <w:t xml:space="preserve">, </w:t>
      </w:r>
      <w:r w:rsidRPr="0085443D">
        <w:t>sa</w:t>
      </w:r>
      <w:r w:rsidR="00573C07" w:rsidRPr="0085443D">
        <w:t xml:space="preserve"> </w:t>
      </w:r>
      <w:r w:rsidR="00043C8F" w:rsidRPr="0085443D">
        <w:t>uk</w:t>
      </w:r>
      <w:r w:rsidRPr="0085443D">
        <w:t>upno</w:t>
      </w:r>
      <w:r w:rsidR="00573C07" w:rsidRPr="0085443D">
        <w:t xml:space="preserve"> </w:t>
      </w:r>
      <w:r w:rsidRPr="0085443D">
        <w:t>procjenjenom</w:t>
      </w:r>
      <w:r w:rsidR="00573C07" w:rsidRPr="0085443D">
        <w:t xml:space="preserve"> </w:t>
      </w:r>
      <w:r w:rsidRPr="0085443D">
        <w:t>štetom</w:t>
      </w:r>
      <w:r w:rsidR="00573C07" w:rsidRPr="0085443D">
        <w:t xml:space="preserve"> </w:t>
      </w:r>
      <w:r w:rsidRPr="0085443D">
        <w:t>od</w:t>
      </w:r>
      <w:r w:rsidR="00573C07" w:rsidRPr="0085443D">
        <w:t xml:space="preserve"> 762.866,05 </w:t>
      </w:r>
      <w:r w:rsidRPr="0085443D">
        <w:t>KM</w:t>
      </w:r>
      <w:r w:rsidR="00573C07" w:rsidRPr="0085443D">
        <w:t xml:space="preserve">. </w:t>
      </w:r>
      <w:r w:rsidRPr="0085443D">
        <w:t>Ugroženost</w:t>
      </w:r>
      <w:r w:rsidR="00573C07" w:rsidRPr="0085443D">
        <w:t xml:space="preserve"> </w:t>
      </w:r>
      <w:r w:rsidRPr="0085443D">
        <w:t>od</w:t>
      </w:r>
      <w:r w:rsidR="00573C07" w:rsidRPr="0085443D">
        <w:t xml:space="preserve"> </w:t>
      </w:r>
      <w:r w:rsidRPr="0085443D">
        <w:t>požara</w:t>
      </w:r>
      <w:r w:rsidR="00573C07" w:rsidRPr="0085443D">
        <w:t xml:space="preserve">, </w:t>
      </w:r>
      <w:r w:rsidRPr="0085443D">
        <w:t>na</w:t>
      </w:r>
      <w:r w:rsidR="00573C07" w:rsidRPr="0085443D">
        <w:t xml:space="preserve"> </w:t>
      </w:r>
      <w:r w:rsidRPr="0085443D">
        <w:t>otvorenom</w:t>
      </w:r>
      <w:r w:rsidR="00573C07" w:rsidRPr="0085443D">
        <w:t xml:space="preserve"> </w:t>
      </w:r>
      <w:r w:rsidRPr="0085443D">
        <w:t>prostoru</w:t>
      </w:r>
      <w:r w:rsidR="00573C07" w:rsidRPr="0085443D">
        <w:t xml:space="preserve">, </w:t>
      </w:r>
      <w:r w:rsidRPr="0085443D">
        <w:t>evidentna</w:t>
      </w:r>
      <w:r w:rsidR="00573C07" w:rsidRPr="0085443D">
        <w:t xml:space="preserve"> </w:t>
      </w:r>
      <w:r w:rsidRPr="0085443D">
        <w:t>je</w:t>
      </w:r>
      <w:r w:rsidR="00573C07" w:rsidRPr="0085443D">
        <w:t xml:space="preserve"> </w:t>
      </w:r>
      <w:r w:rsidRPr="0085443D">
        <w:t>iz</w:t>
      </w:r>
      <w:r w:rsidR="00573C07" w:rsidRPr="0085443D">
        <w:t xml:space="preserve"> </w:t>
      </w:r>
      <w:r w:rsidRPr="0085443D">
        <w:t>površina</w:t>
      </w:r>
      <w:r w:rsidR="00573C07" w:rsidRPr="0085443D">
        <w:t xml:space="preserve"> </w:t>
      </w:r>
      <w:r w:rsidRPr="0085443D">
        <w:t>pod</w:t>
      </w:r>
      <w:r w:rsidR="00573C07" w:rsidRPr="0085443D">
        <w:t xml:space="preserve"> </w:t>
      </w:r>
      <w:r w:rsidRPr="0085443D">
        <w:t>šumama</w:t>
      </w:r>
      <w:r w:rsidR="00573C07" w:rsidRPr="0085443D">
        <w:t xml:space="preserve"> </w:t>
      </w:r>
      <w:r w:rsidRPr="0085443D">
        <w:t>koje</w:t>
      </w:r>
      <w:r w:rsidR="00573C07" w:rsidRPr="0085443D">
        <w:t xml:space="preserve"> </w:t>
      </w:r>
      <w:r w:rsidRPr="0085443D">
        <w:t>iznose</w:t>
      </w:r>
      <w:r w:rsidR="00573C07" w:rsidRPr="0085443D">
        <w:t xml:space="preserve"> 17</w:t>
      </w:r>
      <w:r w:rsidR="00043C8F" w:rsidRPr="0085443D">
        <w:t>.</w:t>
      </w:r>
      <w:r w:rsidR="00573C07" w:rsidRPr="0085443D">
        <w:t xml:space="preserve">387 </w:t>
      </w:r>
      <w:r w:rsidRPr="0085443D">
        <w:t>ha</w:t>
      </w:r>
      <w:r w:rsidR="00573C07" w:rsidRPr="0085443D">
        <w:t xml:space="preserve"> </w:t>
      </w:r>
      <w:r w:rsidRPr="0085443D">
        <w:t>ili</w:t>
      </w:r>
      <w:r w:rsidR="00573C07" w:rsidRPr="0085443D">
        <w:t xml:space="preserve"> 27,60% </w:t>
      </w:r>
      <w:r w:rsidRPr="0085443D">
        <w:t>teritorije</w:t>
      </w:r>
      <w:r w:rsidR="00573C07" w:rsidRPr="0085443D">
        <w:t xml:space="preserve"> </w:t>
      </w:r>
      <w:r w:rsidRPr="0085443D">
        <w:t>Opštine</w:t>
      </w:r>
      <w:r w:rsidR="00573C07" w:rsidRPr="0085443D">
        <w:t xml:space="preserve">. </w:t>
      </w:r>
    </w:p>
    <w:p w14:paraId="77A757A9" w14:textId="77777777" w:rsidR="008E29B3" w:rsidRDefault="008E29B3" w:rsidP="008C3C51"/>
    <w:p w14:paraId="69DAE0BC" w14:textId="77777777" w:rsidR="00573C07" w:rsidRPr="0085443D" w:rsidRDefault="007B3DED" w:rsidP="008C3C51">
      <w:r w:rsidRPr="0085443D">
        <w:t>Najčešći</w:t>
      </w:r>
      <w:r w:rsidR="00573C07" w:rsidRPr="0085443D">
        <w:t xml:space="preserve"> </w:t>
      </w:r>
      <w:r w:rsidRPr="0085443D">
        <w:t>vid</w:t>
      </w:r>
      <w:r w:rsidR="00573C07" w:rsidRPr="0085443D">
        <w:t xml:space="preserve"> </w:t>
      </w:r>
      <w:r w:rsidRPr="0085443D">
        <w:t>ugrožavanja</w:t>
      </w:r>
      <w:r w:rsidR="00573C07" w:rsidRPr="0085443D">
        <w:t xml:space="preserve"> </w:t>
      </w:r>
      <w:r w:rsidRPr="0085443D">
        <w:t>ljudi</w:t>
      </w:r>
      <w:r w:rsidR="00573C07" w:rsidRPr="0085443D">
        <w:t xml:space="preserve"> </w:t>
      </w:r>
      <w:r w:rsidRPr="0085443D">
        <w:t>i</w:t>
      </w:r>
      <w:r w:rsidR="00573C07" w:rsidRPr="0085443D">
        <w:t xml:space="preserve"> </w:t>
      </w:r>
      <w:r w:rsidRPr="0085443D">
        <w:t>materijalnih</w:t>
      </w:r>
      <w:r w:rsidR="00573C07" w:rsidRPr="0085443D">
        <w:t xml:space="preserve"> </w:t>
      </w:r>
      <w:r w:rsidRPr="0085443D">
        <w:t>dobara</w:t>
      </w:r>
      <w:r w:rsidR="00573C07" w:rsidRPr="0085443D">
        <w:t xml:space="preserve"> </w:t>
      </w:r>
      <w:r w:rsidRPr="0085443D">
        <w:t>u</w:t>
      </w:r>
      <w:r w:rsidR="00573C07" w:rsidRPr="0085443D">
        <w:t xml:space="preserve"> </w:t>
      </w:r>
      <w:r w:rsidRPr="0085443D">
        <w:t>posljednjoj</w:t>
      </w:r>
      <w:r w:rsidR="00573C07" w:rsidRPr="0085443D">
        <w:t xml:space="preserve"> </w:t>
      </w:r>
      <w:r w:rsidRPr="0085443D">
        <w:t>deceniji</w:t>
      </w:r>
      <w:r w:rsidR="00573C07" w:rsidRPr="0085443D">
        <w:t xml:space="preserve"> </w:t>
      </w:r>
      <w:r w:rsidRPr="0085443D">
        <w:t>su</w:t>
      </w:r>
      <w:r w:rsidR="00573C07" w:rsidRPr="0085443D">
        <w:t xml:space="preserve"> </w:t>
      </w:r>
      <w:r w:rsidRPr="0085443D">
        <w:t>poplave</w:t>
      </w:r>
      <w:r w:rsidR="00573C07" w:rsidRPr="0085443D">
        <w:t xml:space="preserve"> </w:t>
      </w:r>
      <w:r w:rsidRPr="0085443D">
        <w:t>koje</w:t>
      </w:r>
      <w:r w:rsidR="00573C07" w:rsidRPr="0085443D">
        <w:t xml:space="preserve"> </w:t>
      </w:r>
      <w:r w:rsidRPr="0085443D">
        <w:t>su</w:t>
      </w:r>
      <w:r w:rsidR="00573C07" w:rsidRPr="0085443D">
        <w:t xml:space="preserve"> </w:t>
      </w:r>
      <w:r w:rsidRPr="0085443D">
        <w:t>u</w:t>
      </w:r>
      <w:r w:rsidR="00573C07" w:rsidRPr="0085443D">
        <w:t xml:space="preserve"> </w:t>
      </w:r>
      <w:r w:rsidRPr="0085443D">
        <w:t>različitom</w:t>
      </w:r>
      <w:r w:rsidR="00573C07" w:rsidRPr="0085443D">
        <w:t xml:space="preserve"> </w:t>
      </w:r>
      <w:r w:rsidRPr="0085443D">
        <w:t>obimu</w:t>
      </w:r>
      <w:r w:rsidR="00573C07" w:rsidRPr="0085443D">
        <w:t xml:space="preserve"> </w:t>
      </w:r>
      <w:r w:rsidRPr="0085443D">
        <w:t>zahvatile</w:t>
      </w:r>
      <w:r w:rsidR="00573C07" w:rsidRPr="0085443D">
        <w:t xml:space="preserve"> </w:t>
      </w:r>
      <w:r w:rsidRPr="0085443D">
        <w:t>teritoriju</w:t>
      </w:r>
      <w:r w:rsidR="00573C07" w:rsidRPr="0085443D">
        <w:t xml:space="preserve"> </w:t>
      </w:r>
      <w:r w:rsidRPr="0085443D">
        <w:t>opštine</w:t>
      </w:r>
      <w:r w:rsidR="00573C07" w:rsidRPr="0085443D">
        <w:t xml:space="preserve"> </w:t>
      </w:r>
      <w:r w:rsidRPr="0085443D">
        <w:t>Prnjavor</w:t>
      </w:r>
      <w:r w:rsidR="00573C07" w:rsidRPr="0085443D">
        <w:t xml:space="preserve"> </w:t>
      </w:r>
      <w:r w:rsidRPr="0085443D">
        <w:t>i</w:t>
      </w:r>
      <w:r w:rsidR="00573C07" w:rsidRPr="0085443D">
        <w:t xml:space="preserve"> </w:t>
      </w:r>
      <w:r w:rsidRPr="0085443D">
        <w:t>to</w:t>
      </w:r>
      <w:r w:rsidR="00573C07" w:rsidRPr="0085443D">
        <w:t xml:space="preserve">: </w:t>
      </w:r>
    </w:p>
    <w:p w14:paraId="0CEC6D55" w14:textId="77777777" w:rsidR="00573C07" w:rsidRPr="0085443D" w:rsidRDefault="007B3DED" w:rsidP="009901CE">
      <w:pPr>
        <w:pStyle w:val="ListParagraph"/>
        <w:numPr>
          <w:ilvl w:val="0"/>
          <w:numId w:val="4"/>
        </w:numPr>
        <w:spacing w:before="0" w:line="240" w:lineRule="auto"/>
      </w:pPr>
      <w:r w:rsidRPr="0085443D">
        <w:t>Juni</w:t>
      </w:r>
      <w:r w:rsidR="00573C07" w:rsidRPr="0085443D">
        <w:t xml:space="preserve"> 2010</w:t>
      </w:r>
      <w:r w:rsidR="00043C8F" w:rsidRPr="0085443D">
        <w:t>.</w:t>
      </w:r>
      <w:r w:rsidR="00573C07" w:rsidRPr="0085443D">
        <w:t xml:space="preserve"> </w:t>
      </w:r>
      <w:r w:rsidRPr="0085443D">
        <w:t>godine</w:t>
      </w:r>
      <w:r w:rsidR="00573C07" w:rsidRPr="0085443D">
        <w:t xml:space="preserve"> </w:t>
      </w:r>
      <w:r w:rsidRPr="0085443D">
        <w:t>sa</w:t>
      </w:r>
      <w:r w:rsidR="00573C07" w:rsidRPr="0085443D">
        <w:t xml:space="preserve"> </w:t>
      </w:r>
      <w:r w:rsidRPr="0085443D">
        <w:t>u</w:t>
      </w:r>
      <w:r w:rsidR="006C2566" w:rsidRPr="0085443D">
        <w:t>k</w:t>
      </w:r>
      <w:r w:rsidRPr="0085443D">
        <w:t>upno</w:t>
      </w:r>
      <w:r w:rsidR="00573C07" w:rsidRPr="0085443D">
        <w:t xml:space="preserve"> </w:t>
      </w:r>
      <w:r w:rsidRPr="0085443D">
        <w:t>proc</w:t>
      </w:r>
      <w:r w:rsidR="00043C8F" w:rsidRPr="0085443D">
        <w:t>i</w:t>
      </w:r>
      <w:r w:rsidRPr="0085443D">
        <w:t>jenjenom</w:t>
      </w:r>
      <w:r w:rsidR="00573C07" w:rsidRPr="0085443D">
        <w:t xml:space="preserve"> </w:t>
      </w:r>
      <w:r w:rsidRPr="0085443D">
        <w:t>štetom</w:t>
      </w:r>
      <w:r w:rsidR="00573C07" w:rsidRPr="0085443D">
        <w:t xml:space="preserve"> </w:t>
      </w:r>
      <w:r w:rsidRPr="0085443D">
        <w:t>od</w:t>
      </w:r>
      <w:r w:rsidR="00573C07" w:rsidRPr="0085443D">
        <w:t xml:space="preserve"> 7.305.384,28 </w:t>
      </w:r>
      <w:r w:rsidRPr="0085443D">
        <w:t>KM</w:t>
      </w:r>
      <w:r w:rsidR="00573C07" w:rsidRPr="0085443D">
        <w:t>,</w:t>
      </w:r>
    </w:p>
    <w:p w14:paraId="652B11F8" w14:textId="77777777" w:rsidR="00573C07" w:rsidRPr="0085443D" w:rsidRDefault="007B3DED" w:rsidP="009901CE">
      <w:pPr>
        <w:pStyle w:val="ListParagraph"/>
        <w:numPr>
          <w:ilvl w:val="0"/>
          <w:numId w:val="4"/>
        </w:numPr>
        <w:spacing w:before="0" w:line="240" w:lineRule="auto"/>
      </w:pPr>
      <w:r w:rsidRPr="0085443D">
        <w:t>Maj</w:t>
      </w:r>
      <w:r w:rsidR="00573C07" w:rsidRPr="0085443D">
        <w:t xml:space="preserve"> 2014. </w:t>
      </w:r>
      <w:r w:rsidRPr="0085443D">
        <w:t>godine</w:t>
      </w:r>
      <w:r w:rsidR="00573C07" w:rsidRPr="0085443D">
        <w:t xml:space="preserve"> </w:t>
      </w:r>
      <w:r w:rsidRPr="0085443D">
        <w:t>sa</w:t>
      </w:r>
      <w:r w:rsidR="00573C07" w:rsidRPr="0085443D">
        <w:t xml:space="preserve"> </w:t>
      </w:r>
      <w:r w:rsidRPr="0085443D">
        <w:t>ukupno</w:t>
      </w:r>
      <w:r w:rsidR="00573C07" w:rsidRPr="0085443D">
        <w:t xml:space="preserve"> </w:t>
      </w:r>
      <w:r w:rsidR="00043C8F" w:rsidRPr="0085443D">
        <w:t>procijen</w:t>
      </w:r>
      <w:r w:rsidRPr="0085443D">
        <w:t>jenom</w:t>
      </w:r>
      <w:r w:rsidR="00573C07" w:rsidRPr="0085443D">
        <w:t xml:space="preserve"> </w:t>
      </w:r>
      <w:r w:rsidRPr="0085443D">
        <w:t>štetom</w:t>
      </w:r>
      <w:r w:rsidR="00573C07" w:rsidRPr="0085443D">
        <w:t xml:space="preserve"> </w:t>
      </w:r>
      <w:r w:rsidRPr="0085443D">
        <w:t>od</w:t>
      </w:r>
      <w:r w:rsidR="00573C07" w:rsidRPr="0085443D">
        <w:t xml:space="preserve"> 9.433.071,71 </w:t>
      </w:r>
      <w:r w:rsidRPr="0085443D">
        <w:t>KM</w:t>
      </w:r>
      <w:r w:rsidR="00573C07" w:rsidRPr="0085443D">
        <w:t xml:space="preserve">, </w:t>
      </w:r>
      <w:r w:rsidRPr="0085443D">
        <w:t>od</w:t>
      </w:r>
      <w:r w:rsidR="00573C07" w:rsidRPr="0085443D">
        <w:t xml:space="preserve"> </w:t>
      </w:r>
      <w:r w:rsidRPr="0085443D">
        <w:t>čega</w:t>
      </w:r>
      <w:r w:rsidR="00573C07" w:rsidRPr="0085443D">
        <w:t xml:space="preserve"> 8.175.852,15 </w:t>
      </w:r>
      <w:r w:rsidRPr="0085443D">
        <w:t>KM</w:t>
      </w:r>
      <w:r w:rsidR="00573C07" w:rsidRPr="0085443D">
        <w:t xml:space="preserve"> </w:t>
      </w:r>
      <w:r w:rsidRPr="0085443D">
        <w:t>na</w:t>
      </w:r>
      <w:r w:rsidR="00573C07" w:rsidRPr="0085443D">
        <w:t xml:space="preserve"> </w:t>
      </w:r>
      <w:r w:rsidRPr="0085443D">
        <w:t>imovini</w:t>
      </w:r>
      <w:r w:rsidR="00573C07" w:rsidRPr="0085443D">
        <w:t xml:space="preserve"> </w:t>
      </w:r>
      <w:r w:rsidRPr="0085443D">
        <w:t>pravnih</w:t>
      </w:r>
      <w:r w:rsidR="00573C07" w:rsidRPr="0085443D">
        <w:t xml:space="preserve"> </w:t>
      </w:r>
      <w:r w:rsidRPr="0085443D">
        <w:t>lica</w:t>
      </w:r>
      <w:r w:rsidR="00573C07" w:rsidRPr="0085443D">
        <w:t xml:space="preserve">, </w:t>
      </w:r>
      <w:r w:rsidRPr="0085443D">
        <w:t>a</w:t>
      </w:r>
      <w:r w:rsidR="00573C07" w:rsidRPr="0085443D">
        <w:t xml:space="preserve"> 1.257.219,56 </w:t>
      </w:r>
      <w:r w:rsidRPr="0085443D">
        <w:t>KM</w:t>
      </w:r>
      <w:r w:rsidR="00573C07" w:rsidRPr="0085443D">
        <w:t xml:space="preserve"> </w:t>
      </w:r>
      <w:r w:rsidRPr="0085443D">
        <w:t>na</w:t>
      </w:r>
      <w:r w:rsidR="00573C07" w:rsidRPr="0085443D">
        <w:t xml:space="preserve"> </w:t>
      </w:r>
      <w:r w:rsidRPr="0085443D">
        <w:t>imovini</w:t>
      </w:r>
      <w:r w:rsidR="00573C07" w:rsidRPr="0085443D">
        <w:t xml:space="preserve"> </w:t>
      </w:r>
      <w:r w:rsidRPr="0085443D">
        <w:t>u</w:t>
      </w:r>
      <w:r w:rsidR="00573C07" w:rsidRPr="0085443D">
        <w:t xml:space="preserve"> </w:t>
      </w:r>
      <w:r w:rsidRPr="0085443D">
        <w:t>ličnoj</w:t>
      </w:r>
      <w:r w:rsidR="00573C07" w:rsidRPr="0085443D">
        <w:t xml:space="preserve"> </w:t>
      </w:r>
      <w:r w:rsidRPr="0085443D">
        <w:t>svojini</w:t>
      </w:r>
      <w:r w:rsidR="00043C8F" w:rsidRPr="0085443D">
        <w:t>,</w:t>
      </w:r>
    </w:p>
    <w:p w14:paraId="405D4ADC" w14:textId="77777777" w:rsidR="00573C07" w:rsidRPr="0085443D" w:rsidRDefault="007B3DED" w:rsidP="009901CE">
      <w:pPr>
        <w:pStyle w:val="ListParagraph"/>
        <w:numPr>
          <w:ilvl w:val="0"/>
          <w:numId w:val="4"/>
        </w:numPr>
        <w:spacing w:before="0" w:line="240" w:lineRule="auto"/>
      </w:pPr>
      <w:r w:rsidRPr="0085443D">
        <w:t>Avgust</w:t>
      </w:r>
      <w:r w:rsidR="00573C07" w:rsidRPr="0085443D">
        <w:t xml:space="preserve"> 2014. </w:t>
      </w:r>
      <w:r w:rsidRPr="0085443D">
        <w:t>godine</w:t>
      </w:r>
      <w:r w:rsidR="00573C07" w:rsidRPr="0085443D">
        <w:t xml:space="preserve"> </w:t>
      </w:r>
      <w:r w:rsidRPr="0085443D">
        <w:t>sa</w:t>
      </w:r>
      <w:r w:rsidR="00573C07" w:rsidRPr="0085443D">
        <w:t xml:space="preserve"> </w:t>
      </w:r>
      <w:r w:rsidRPr="0085443D">
        <w:t>ukupno</w:t>
      </w:r>
      <w:r w:rsidR="00573C07" w:rsidRPr="0085443D">
        <w:t xml:space="preserve"> </w:t>
      </w:r>
      <w:r w:rsidRPr="0085443D">
        <w:t>proc</w:t>
      </w:r>
      <w:r w:rsidR="00043C8F" w:rsidRPr="0085443D">
        <w:t>i</w:t>
      </w:r>
      <w:r w:rsidRPr="0085443D">
        <w:t>jenjenom</w:t>
      </w:r>
      <w:r w:rsidR="00573C07" w:rsidRPr="0085443D">
        <w:t xml:space="preserve"> </w:t>
      </w:r>
      <w:r w:rsidRPr="0085443D">
        <w:t>štetom</w:t>
      </w:r>
      <w:r w:rsidR="00573C07" w:rsidRPr="0085443D">
        <w:t xml:space="preserve"> </w:t>
      </w:r>
      <w:r w:rsidRPr="0085443D">
        <w:t>od</w:t>
      </w:r>
      <w:r w:rsidR="00573C07" w:rsidRPr="0085443D">
        <w:t xml:space="preserve"> 667.861,08 </w:t>
      </w:r>
      <w:r w:rsidRPr="0085443D">
        <w:t>KM</w:t>
      </w:r>
      <w:r w:rsidR="00573C07" w:rsidRPr="0085443D">
        <w:t xml:space="preserve">, </w:t>
      </w:r>
      <w:r w:rsidRPr="0085443D">
        <w:t>od</w:t>
      </w:r>
      <w:r w:rsidR="00573C07" w:rsidRPr="0085443D">
        <w:t xml:space="preserve"> </w:t>
      </w:r>
      <w:r w:rsidRPr="0085443D">
        <w:t>čega</w:t>
      </w:r>
      <w:r w:rsidR="00573C07" w:rsidRPr="0085443D">
        <w:t xml:space="preserve"> 161.893,80 </w:t>
      </w:r>
      <w:r w:rsidRPr="0085443D">
        <w:t>KM</w:t>
      </w:r>
      <w:r w:rsidR="00573C07" w:rsidRPr="0085443D">
        <w:t xml:space="preserve"> </w:t>
      </w:r>
      <w:r w:rsidRPr="0085443D">
        <w:t>na</w:t>
      </w:r>
      <w:r w:rsidR="00573C07" w:rsidRPr="0085443D">
        <w:t xml:space="preserve"> </w:t>
      </w:r>
      <w:r w:rsidRPr="0085443D">
        <w:t>imovini</w:t>
      </w:r>
      <w:r w:rsidR="00573C07" w:rsidRPr="0085443D">
        <w:t xml:space="preserve"> </w:t>
      </w:r>
      <w:r w:rsidRPr="0085443D">
        <w:t>pravnih</w:t>
      </w:r>
      <w:r w:rsidR="00573C07" w:rsidRPr="0085443D">
        <w:t xml:space="preserve"> </w:t>
      </w:r>
      <w:r w:rsidRPr="0085443D">
        <w:t>lica</w:t>
      </w:r>
      <w:r w:rsidR="00573C07" w:rsidRPr="0085443D">
        <w:t xml:space="preserve">, </w:t>
      </w:r>
      <w:r w:rsidRPr="0085443D">
        <w:t>a</w:t>
      </w:r>
      <w:r w:rsidR="00573C07" w:rsidRPr="0085443D">
        <w:t xml:space="preserve"> 505.967,28 </w:t>
      </w:r>
      <w:r w:rsidRPr="0085443D">
        <w:t>KM</w:t>
      </w:r>
      <w:r w:rsidR="00573C07" w:rsidRPr="0085443D">
        <w:t xml:space="preserve"> </w:t>
      </w:r>
      <w:r w:rsidRPr="0085443D">
        <w:t>na</w:t>
      </w:r>
      <w:r w:rsidR="00573C07" w:rsidRPr="0085443D">
        <w:t xml:space="preserve"> </w:t>
      </w:r>
      <w:r w:rsidRPr="0085443D">
        <w:t>imovini</w:t>
      </w:r>
      <w:r w:rsidR="00573C07" w:rsidRPr="0085443D">
        <w:t xml:space="preserve"> </w:t>
      </w:r>
      <w:r w:rsidRPr="0085443D">
        <w:t>u</w:t>
      </w:r>
      <w:r w:rsidR="00573C07" w:rsidRPr="0085443D">
        <w:t xml:space="preserve"> </w:t>
      </w:r>
      <w:r w:rsidRPr="0085443D">
        <w:t>ličnoj</w:t>
      </w:r>
      <w:r w:rsidR="00573C07" w:rsidRPr="0085443D">
        <w:t xml:space="preserve"> </w:t>
      </w:r>
      <w:r w:rsidRPr="0085443D">
        <w:t>svojini</w:t>
      </w:r>
      <w:r w:rsidR="00573C07" w:rsidRPr="0085443D">
        <w:t xml:space="preserve"> </w:t>
      </w:r>
      <w:r w:rsidRPr="0085443D">
        <w:t>i</w:t>
      </w:r>
    </w:p>
    <w:p w14:paraId="560DA5C0" w14:textId="77777777" w:rsidR="00573C07" w:rsidRPr="0085443D" w:rsidRDefault="007B3DED" w:rsidP="009901CE">
      <w:pPr>
        <w:pStyle w:val="ListParagraph"/>
        <w:numPr>
          <w:ilvl w:val="0"/>
          <w:numId w:val="4"/>
        </w:numPr>
        <w:spacing w:before="0" w:line="240" w:lineRule="auto"/>
      </w:pPr>
      <w:r w:rsidRPr="0085443D">
        <w:t>Januar</w:t>
      </w:r>
      <w:r w:rsidR="00573C07" w:rsidRPr="0085443D">
        <w:t xml:space="preserve"> 2016. </w:t>
      </w:r>
      <w:r w:rsidRPr="0085443D">
        <w:t>godine</w:t>
      </w:r>
      <w:r w:rsidR="00573C07" w:rsidRPr="0085443D">
        <w:t xml:space="preserve"> </w:t>
      </w:r>
      <w:r w:rsidRPr="0085443D">
        <w:t>sa</w:t>
      </w:r>
      <w:r w:rsidR="00573C07" w:rsidRPr="0085443D">
        <w:t xml:space="preserve"> </w:t>
      </w:r>
      <w:r w:rsidRPr="0085443D">
        <w:t>ukupno</w:t>
      </w:r>
      <w:r w:rsidR="00573C07" w:rsidRPr="0085443D">
        <w:t xml:space="preserve"> </w:t>
      </w:r>
      <w:r w:rsidRPr="0085443D">
        <w:t>proc</w:t>
      </w:r>
      <w:r w:rsidR="00043C8F" w:rsidRPr="0085443D">
        <w:t>i</w:t>
      </w:r>
      <w:r w:rsidRPr="0085443D">
        <w:t>jenjenom</w:t>
      </w:r>
      <w:r w:rsidR="00573C07" w:rsidRPr="0085443D">
        <w:t xml:space="preserve"> </w:t>
      </w:r>
      <w:r w:rsidRPr="0085443D">
        <w:t>štetom</w:t>
      </w:r>
      <w:r w:rsidR="00573C07" w:rsidRPr="0085443D">
        <w:t xml:space="preserve"> </w:t>
      </w:r>
      <w:r w:rsidRPr="0085443D">
        <w:t>od</w:t>
      </w:r>
      <w:r w:rsidR="00573C07" w:rsidRPr="0085443D">
        <w:t xml:space="preserve"> 67.512,69 </w:t>
      </w:r>
      <w:r w:rsidRPr="0085443D">
        <w:t>KM</w:t>
      </w:r>
      <w:r w:rsidR="00573C07" w:rsidRPr="0085443D">
        <w:t xml:space="preserve">, </w:t>
      </w:r>
      <w:r w:rsidRPr="0085443D">
        <w:t>od</w:t>
      </w:r>
      <w:r w:rsidR="00573C07" w:rsidRPr="0085443D">
        <w:t xml:space="preserve"> </w:t>
      </w:r>
      <w:r w:rsidRPr="0085443D">
        <w:t>čega</w:t>
      </w:r>
      <w:r w:rsidR="00573C07" w:rsidRPr="0085443D">
        <w:t xml:space="preserve"> 23.777,14 </w:t>
      </w:r>
      <w:r w:rsidRPr="0085443D">
        <w:t>KM</w:t>
      </w:r>
      <w:r w:rsidR="00573C07" w:rsidRPr="0085443D">
        <w:t xml:space="preserve"> </w:t>
      </w:r>
      <w:r w:rsidRPr="0085443D">
        <w:t>na</w:t>
      </w:r>
      <w:r w:rsidR="00573C07" w:rsidRPr="0085443D">
        <w:t xml:space="preserve"> </w:t>
      </w:r>
      <w:r w:rsidRPr="0085443D">
        <w:t>imovini</w:t>
      </w:r>
      <w:r w:rsidR="00573C07" w:rsidRPr="0085443D">
        <w:t xml:space="preserve"> </w:t>
      </w:r>
      <w:r w:rsidRPr="0085443D">
        <w:t>pravnih</w:t>
      </w:r>
      <w:r w:rsidR="00573C07" w:rsidRPr="0085443D">
        <w:t xml:space="preserve"> </w:t>
      </w:r>
      <w:r w:rsidRPr="0085443D">
        <w:t>lica</w:t>
      </w:r>
      <w:r w:rsidR="00573C07" w:rsidRPr="0085443D">
        <w:t xml:space="preserve">, </w:t>
      </w:r>
      <w:r w:rsidRPr="0085443D">
        <w:t>a</w:t>
      </w:r>
      <w:r w:rsidR="00573C07" w:rsidRPr="0085443D">
        <w:t xml:space="preserve"> 43.735,55 </w:t>
      </w:r>
      <w:r w:rsidRPr="0085443D">
        <w:t>KM</w:t>
      </w:r>
      <w:r w:rsidR="00573C07" w:rsidRPr="0085443D">
        <w:t xml:space="preserve"> </w:t>
      </w:r>
      <w:r w:rsidRPr="0085443D">
        <w:t>na</w:t>
      </w:r>
      <w:r w:rsidR="00573C07" w:rsidRPr="0085443D">
        <w:t xml:space="preserve"> </w:t>
      </w:r>
      <w:r w:rsidRPr="0085443D">
        <w:t>imovini</w:t>
      </w:r>
      <w:r w:rsidR="00573C07" w:rsidRPr="0085443D">
        <w:t xml:space="preserve"> </w:t>
      </w:r>
      <w:r w:rsidRPr="0085443D">
        <w:t>u</w:t>
      </w:r>
      <w:r w:rsidR="00573C07" w:rsidRPr="0085443D">
        <w:t xml:space="preserve"> </w:t>
      </w:r>
      <w:r w:rsidRPr="0085443D">
        <w:t>ličnoj</w:t>
      </w:r>
      <w:r w:rsidR="00573C07" w:rsidRPr="0085443D">
        <w:t xml:space="preserve"> </w:t>
      </w:r>
      <w:r w:rsidRPr="0085443D">
        <w:t>svojini</w:t>
      </w:r>
      <w:r w:rsidR="00573C07" w:rsidRPr="0085443D">
        <w:t>.</w:t>
      </w:r>
    </w:p>
    <w:p w14:paraId="649C89B2" w14:textId="77777777" w:rsidR="00C17C49" w:rsidRPr="0085443D" w:rsidRDefault="00C17C49" w:rsidP="00C17C49">
      <w:pPr>
        <w:shd w:val="clear" w:color="auto" w:fill="FFFFFF"/>
        <w:jc w:val="both"/>
        <w:rPr>
          <w:rStyle w:val="Strong"/>
          <w:rFonts w:cs="Calibri"/>
          <w:b w:val="0"/>
          <w:shd w:val="clear" w:color="auto" w:fill="FFFFFF"/>
          <w:lang w:val="hr-HR"/>
        </w:rPr>
      </w:pPr>
      <w:r w:rsidRPr="0085443D">
        <w:rPr>
          <w:rStyle w:val="Strong"/>
          <w:rFonts w:cs="Calibri"/>
          <w:b w:val="0"/>
          <w:shd w:val="clear" w:color="auto" w:fill="FFFFFF"/>
          <w:lang w:val="sr-Cyrl-CS"/>
        </w:rPr>
        <w:t>Prema dosadašnjim iskustvima, najugroženiji rejoni od poplava su područja mjesnih zajednica: Prnjavor, Popovići, Kulaši, Prisoje, Gornji Vijačani, Kremna, Drenova, Štrpci, Donja Ilova, Palačkovci i Smrtići gdje su poplave pretežno izazvane izlijevanjem voda iz korita prethodno navedenih rijeka, uz stvaranje većih bujičnih tokova.</w:t>
      </w:r>
    </w:p>
    <w:p w14:paraId="645B4E6C" w14:textId="77777777" w:rsidR="00C17C49" w:rsidRPr="0085443D" w:rsidRDefault="00C17C49" w:rsidP="00C17C49">
      <w:pPr>
        <w:shd w:val="clear" w:color="auto" w:fill="FFFFFF"/>
        <w:jc w:val="both"/>
        <w:rPr>
          <w:rStyle w:val="Strong"/>
          <w:rFonts w:cs="Calibri"/>
          <w:b w:val="0"/>
          <w:shd w:val="clear" w:color="auto" w:fill="FFFFFF"/>
          <w:lang w:val="sr-Cyrl-CS"/>
        </w:rPr>
      </w:pPr>
      <w:r w:rsidRPr="0085443D">
        <w:rPr>
          <w:rStyle w:val="Strong"/>
          <w:rFonts w:cs="Calibri"/>
          <w:b w:val="0"/>
          <w:shd w:val="clear" w:color="auto" w:fill="FFFFFF"/>
          <w:lang w:val="sr-Cyrl-CS"/>
        </w:rPr>
        <w:t>U toku 2014. i 2015. godine izvršene su sanacije i uređenja korita rijeka na sljedećim lokacijama, čime su se značajno smanjile potencijalne štete od poplava i izlijevanja ovih vodotokova:</w:t>
      </w:r>
    </w:p>
    <w:p w14:paraId="1DDC807E" w14:textId="77777777" w:rsidR="00C17C49" w:rsidRPr="0004279D" w:rsidRDefault="00C17C49" w:rsidP="009901CE">
      <w:pPr>
        <w:pStyle w:val="ListParagraph"/>
        <w:numPr>
          <w:ilvl w:val="0"/>
          <w:numId w:val="6"/>
        </w:numPr>
        <w:spacing w:before="0" w:line="240" w:lineRule="auto"/>
        <w:ind w:left="284" w:hanging="284"/>
        <w:rPr>
          <w:rFonts w:cs="Calibri"/>
          <w:highlight w:val="cyan"/>
          <w:lang w:val="sr-Cyrl-BA"/>
        </w:rPr>
      </w:pPr>
      <w:r w:rsidRPr="0004279D">
        <w:rPr>
          <w:rFonts w:cs="Calibri"/>
          <w:highlight w:val="cyan"/>
          <w:lang w:val="sr-Cyrl-BA"/>
        </w:rPr>
        <w:t xml:space="preserve">čišćenje i uređenje korita rijeke Lišnje na dionici od Naseobine Lišnje do ušća u rijeku Vijaku </w:t>
      </w:r>
      <w:r w:rsidRPr="0004279D">
        <w:rPr>
          <w:rFonts w:cs="Calibri"/>
          <w:highlight w:val="cyan"/>
          <w:lang w:val="sr-Cyrl-CS"/>
        </w:rPr>
        <w:t>u ukupnoj dužini od 1</w:t>
      </w:r>
      <w:r w:rsidR="00043C8F" w:rsidRPr="0004279D">
        <w:rPr>
          <w:rFonts w:cs="Calibri"/>
          <w:highlight w:val="cyan"/>
          <w:lang w:val="sr-Latn-BA"/>
        </w:rPr>
        <w:t>.</w:t>
      </w:r>
      <w:r w:rsidRPr="0004279D">
        <w:rPr>
          <w:rFonts w:cs="Calibri"/>
          <w:highlight w:val="cyan"/>
          <w:lang w:val="sr-Cyrl-CS"/>
        </w:rPr>
        <w:t>200 m;</w:t>
      </w:r>
    </w:p>
    <w:p w14:paraId="2F3A33E5" w14:textId="77777777" w:rsidR="00C17C49" w:rsidRPr="0004279D" w:rsidRDefault="00C17C49" w:rsidP="009901CE">
      <w:pPr>
        <w:pStyle w:val="ListParagraph"/>
        <w:numPr>
          <w:ilvl w:val="0"/>
          <w:numId w:val="6"/>
        </w:numPr>
        <w:spacing w:before="0" w:line="240" w:lineRule="auto"/>
        <w:ind w:left="284" w:hanging="284"/>
        <w:rPr>
          <w:rFonts w:cs="Calibri"/>
          <w:highlight w:val="cyan"/>
          <w:lang w:val="sr-Cyrl-BA"/>
        </w:rPr>
      </w:pPr>
      <w:r w:rsidRPr="0004279D">
        <w:rPr>
          <w:rFonts w:cs="Calibri"/>
          <w:highlight w:val="cyan"/>
          <w:lang w:val="sr-Cyrl-BA"/>
        </w:rPr>
        <w:t>čišćenje i uređenje korita rijeke Vijake na dionici od ušća rijeke Lišnje do ušća sa potokom Radulovac (dio industrijske zone), gdje su izvršeni radovi na produbljivanju i proširenju korita sa postavljanjem zemljanih nasipa i izdizanjem tla na pojedinim lokacijama;</w:t>
      </w:r>
    </w:p>
    <w:p w14:paraId="66E5B507" w14:textId="77777777" w:rsidR="00C17C49" w:rsidRPr="0004279D" w:rsidRDefault="00C17C49" w:rsidP="009901CE">
      <w:pPr>
        <w:pStyle w:val="ListParagraph"/>
        <w:numPr>
          <w:ilvl w:val="0"/>
          <w:numId w:val="6"/>
        </w:numPr>
        <w:spacing w:before="0" w:line="240" w:lineRule="auto"/>
        <w:ind w:left="284" w:hanging="284"/>
        <w:rPr>
          <w:rFonts w:cs="Calibri"/>
          <w:highlight w:val="cyan"/>
          <w:lang w:val="sr-Cyrl-BA"/>
        </w:rPr>
      </w:pPr>
      <w:r w:rsidRPr="0004279D">
        <w:rPr>
          <w:rFonts w:cs="Calibri"/>
          <w:highlight w:val="cyan"/>
          <w:lang w:val="sr-Cyrl-BA"/>
        </w:rPr>
        <w:t>čišćenje i uređenje korita rijeke Ilove u mjestu Donja Ilova u dužini od oko 8</w:t>
      </w:r>
      <w:r w:rsidRPr="0004279D">
        <w:rPr>
          <w:rFonts w:cs="Calibri"/>
          <w:highlight w:val="cyan"/>
        </w:rPr>
        <w:t>5</w:t>
      </w:r>
      <w:r w:rsidRPr="0004279D">
        <w:rPr>
          <w:rFonts w:cs="Calibri"/>
          <w:highlight w:val="cyan"/>
          <w:lang w:val="sr-Cyrl-BA"/>
        </w:rPr>
        <w:t>0 m, a koja je ugrožavala putnu komunikaciju regionalnog puta Prnjavor-Ilova-Srbac i Prnjavor-Šibovska-Derventa</w:t>
      </w:r>
      <w:r w:rsidR="00043C8F" w:rsidRPr="0004279D">
        <w:rPr>
          <w:rFonts w:cs="Calibri"/>
          <w:highlight w:val="cyan"/>
        </w:rPr>
        <w:t>;</w:t>
      </w:r>
    </w:p>
    <w:p w14:paraId="155EA968" w14:textId="77777777" w:rsidR="00C17C49" w:rsidRPr="0004279D" w:rsidRDefault="00C17C49" w:rsidP="009901CE">
      <w:pPr>
        <w:pStyle w:val="ListParagraph"/>
        <w:numPr>
          <w:ilvl w:val="0"/>
          <w:numId w:val="6"/>
        </w:numPr>
        <w:spacing w:before="0" w:line="240" w:lineRule="auto"/>
        <w:ind w:left="284" w:hanging="284"/>
        <w:rPr>
          <w:rFonts w:cs="Calibri"/>
          <w:highlight w:val="cyan"/>
          <w:lang w:val="sr-Cyrl-BA"/>
        </w:rPr>
      </w:pPr>
      <w:r w:rsidRPr="0004279D">
        <w:rPr>
          <w:rFonts w:cs="Calibri"/>
          <w:highlight w:val="cyan"/>
          <w:lang w:val="sr-Cyrl-BA"/>
        </w:rPr>
        <w:t>čišćenje i uređenje korita rječice Mravica sa postavljanjem zemljanih nasipa na ušću sa rijekom Vijakom u dužini od oko 550 m – Mravica i 220 m – Vijaka;</w:t>
      </w:r>
    </w:p>
    <w:p w14:paraId="6B95C8C7" w14:textId="77777777" w:rsidR="003B2C9E" w:rsidRPr="0004279D" w:rsidRDefault="00C17C49" w:rsidP="009901CE">
      <w:pPr>
        <w:pStyle w:val="ListParagraph"/>
        <w:numPr>
          <w:ilvl w:val="0"/>
          <w:numId w:val="6"/>
        </w:numPr>
        <w:spacing w:before="0" w:line="240" w:lineRule="auto"/>
        <w:ind w:left="284" w:hanging="284"/>
        <w:rPr>
          <w:rFonts w:cs="Calibri"/>
          <w:highlight w:val="cyan"/>
          <w:lang w:val="sr-Cyrl-BA"/>
        </w:rPr>
      </w:pPr>
      <w:r w:rsidRPr="0004279D">
        <w:rPr>
          <w:rFonts w:cs="Calibri"/>
          <w:highlight w:val="cyan"/>
          <w:lang w:val="sr-Cyrl-BA"/>
        </w:rPr>
        <w:t>čišćenje i uređenje korita bujičnog vodotoka Radulovac u dužini od oko 200 m sa podizanjem zemljanog nasipa;</w:t>
      </w:r>
      <w:r w:rsidRPr="0004279D">
        <w:rPr>
          <w:rFonts w:ascii="Times New Roman" w:hAnsi="Times New Roman"/>
          <w:sz w:val="24"/>
          <w:szCs w:val="24"/>
          <w:highlight w:val="cyan"/>
          <w:lang w:val="sr-Cyrl-BA"/>
        </w:rPr>
        <w:tab/>
      </w:r>
    </w:p>
    <w:p w14:paraId="6C447DDD" w14:textId="77777777" w:rsidR="00C17C49" w:rsidRPr="0085443D" w:rsidRDefault="003B2C9E" w:rsidP="009901CE">
      <w:pPr>
        <w:pStyle w:val="ListParagraph"/>
        <w:numPr>
          <w:ilvl w:val="0"/>
          <w:numId w:val="6"/>
        </w:numPr>
        <w:spacing w:before="0" w:line="240" w:lineRule="auto"/>
        <w:ind w:left="284" w:hanging="284"/>
        <w:rPr>
          <w:rStyle w:val="Strong"/>
          <w:rFonts w:cs="Calibri"/>
          <w:b w:val="0"/>
          <w:bCs w:val="0"/>
          <w:lang w:val="sr-Cyrl-BA"/>
        </w:rPr>
      </w:pPr>
      <w:r w:rsidRPr="0004279D">
        <w:rPr>
          <w:rFonts w:cs="Calibri"/>
          <w:highlight w:val="cyan"/>
          <w:lang w:val="sr-Cyrl-BA"/>
        </w:rPr>
        <w:t>Radovi na uređenju potoka Mamutovac u Gornjim Štrpcima i to uzvodno od ušća potoka u rijeku Ukrinu do trase na kojoj se potok ukršta sa auto-putem Banja Luka – Doboj u dužini od 1.154 m</w:t>
      </w:r>
      <w:r w:rsidRPr="0004279D">
        <w:rPr>
          <w:rFonts w:cs="Calibri"/>
          <w:highlight w:val="cyan"/>
          <w:lang w:val="sr-Latn-BA"/>
        </w:rPr>
        <w:t>.</w:t>
      </w:r>
      <w:r w:rsidR="00043C8F" w:rsidRPr="0085443D">
        <w:rPr>
          <w:rFonts w:ascii="Times New Roman" w:hAnsi="Times New Roman"/>
          <w:sz w:val="24"/>
          <w:szCs w:val="24"/>
          <w:lang w:val="sr-Cyrl-BA"/>
        </w:rPr>
        <w:tab/>
      </w:r>
      <w:r w:rsidR="00043C8F" w:rsidRPr="0085443D">
        <w:rPr>
          <w:rFonts w:ascii="Times New Roman" w:hAnsi="Times New Roman"/>
          <w:sz w:val="24"/>
          <w:szCs w:val="24"/>
          <w:lang w:val="sr-Cyrl-BA"/>
        </w:rPr>
        <w:tab/>
      </w:r>
    </w:p>
    <w:p w14:paraId="1A9D85FE" w14:textId="77777777" w:rsidR="00573C07" w:rsidRPr="0085443D" w:rsidRDefault="007B3DED" w:rsidP="00C17C49">
      <w:pPr>
        <w:jc w:val="both"/>
      </w:pPr>
      <w:r w:rsidRPr="0085443D">
        <w:lastRenderedPageBreak/>
        <w:t>Isto</w:t>
      </w:r>
      <w:r w:rsidR="00573C07" w:rsidRPr="0085443D">
        <w:t xml:space="preserve"> </w:t>
      </w:r>
      <w:r w:rsidRPr="0085443D">
        <w:t>tako</w:t>
      </w:r>
      <w:r w:rsidR="00573C07" w:rsidRPr="0085443D">
        <w:t xml:space="preserve">, </w:t>
      </w:r>
      <w:r w:rsidRPr="0085443D">
        <w:t>u</w:t>
      </w:r>
      <w:r w:rsidR="00573C07" w:rsidRPr="0085443D">
        <w:t xml:space="preserve"> </w:t>
      </w:r>
      <w:r w:rsidRPr="0085443D">
        <w:t>julu</w:t>
      </w:r>
      <w:r w:rsidR="00573C07" w:rsidRPr="0085443D">
        <w:t xml:space="preserve"> 2016. </w:t>
      </w:r>
      <w:r w:rsidRPr="0085443D">
        <w:t>godine</w:t>
      </w:r>
      <w:r w:rsidR="00573C07" w:rsidRPr="0085443D">
        <w:t xml:space="preserve">, </w:t>
      </w:r>
      <w:r w:rsidRPr="0085443D">
        <w:t>olujno</w:t>
      </w:r>
      <w:r w:rsidR="00573C07" w:rsidRPr="0085443D">
        <w:t xml:space="preserve"> </w:t>
      </w:r>
      <w:r w:rsidRPr="0085443D">
        <w:t>nevrijeme</w:t>
      </w:r>
      <w:r w:rsidR="00573C07" w:rsidRPr="0085443D">
        <w:t xml:space="preserve"> </w:t>
      </w:r>
      <w:r w:rsidRPr="0085443D">
        <w:t>praćeno</w:t>
      </w:r>
      <w:r w:rsidR="00573C07" w:rsidRPr="0085443D">
        <w:t xml:space="preserve"> </w:t>
      </w:r>
      <w:r w:rsidRPr="0085443D">
        <w:t>gradom</w:t>
      </w:r>
      <w:r w:rsidR="00573C07" w:rsidRPr="0085443D">
        <w:t xml:space="preserve"> </w:t>
      </w:r>
      <w:r w:rsidRPr="0085443D">
        <w:t>i</w:t>
      </w:r>
      <w:r w:rsidR="00573C07" w:rsidRPr="0085443D">
        <w:t xml:space="preserve"> </w:t>
      </w:r>
      <w:r w:rsidRPr="0085443D">
        <w:t>jakim</w:t>
      </w:r>
      <w:r w:rsidR="00573C07" w:rsidRPr="0085443D">
        <w:t xml:space="preserve"> </w:t>
      </w:r>
      <w:r w:rsidRPr="0085443D">
        <w:t>vjetrom</w:t>
      </w:r>
      <w:r w:rsidR="00573C07" w:rsidRPr="0085443D">
        <w:t xml:space="preserve"> </w:t>
      </w:r>
      <w:r w:rsidRPr="0085443D">
        <w:t>zahvatilo</w:t>
      </w:r>
      <w:r w:rsidR="00573C07" w:rsidRPr="0085443D">
        <w:t xml:space="preserve"> </w:t>
      </w:r>
      <w:r w:rsidRPr="0085443D">
        <w:t>je</w:t>
      </w:r>
      <w:r w:rsidR="00573C07" w:rsidRPr="0085443D">
        <w:t xml:space="preserve"> </w:t>
      </w:r>
      <w:r w:rsidRPr="0085443D">
        <w:t>sjeverni</w:t>
      </w:r>
      <w:r w:rsidR="00573C07" w:rsidRPr="0085443D">
        <w:t xml:space="preserve"> </w:t>
      </w:r>
      <w:r w:rsidRPr="0085443D">
        <w:t>dio</w:t>
      </w:r>
      <w:r w:rsidR="00573C07" w:rsidRPr="0085443D">
        <w:t xml:space="preserve"> </w:t>
      </w:r>
      <w:r w:rsidRPr="0085443D">
        <w:t>opštine</w:t>
      </w:r>
      <w:r w:rsidR="00573C07" w:rsidRPr="0085443D">
        <w:t xml:space="preserve"> </w:t>
      </w:r>
      <w:r w:rsidRPr="0085443D">
        <w:t>Prnjavor</w:t>
      </w:r>
      <w:r w:rsidR="00573C07" w:rsidRPr="0085443D">
        <w:t xml:space="preserve"> </w:t>
      </w:r>
      <w:r w:rsidRPr="0085443D">
        <w:t>pri</w:t>
      </w:r>
      <w:r w:rsidR="00573C07" w:rsidRPr="0085443D">
        <w:t xml:space="preserve"> </w:t>
      </w:r>
      <w:r w:rsidRPr="0085443D">
        <w:t>čemu</w:t>
      </w:r>
      <w:r w:rsidR="00573C07" w:rsidRPr="0085443D">
        <w:t xml:space="preserve"> </w:t>
      </w:r>
      <w:r w:rsidRPr="0085443D">
        <w:t>je</w:t>
      </w:r>
      <w:r w:rsidR="00573C07" w:rsidRPr="0085443D">
        <w:t xml:space="preserve"> </w:t>
      </w:r>
      <w:r w:rsidRPr="0085443D">
        <w:t>pričinjena</w:t>
      </w:r>
      <w:r w:rsidR="00573C07" w:rsidRPr="0085443D">
        <w:t xml:space="preserve"> </w:t>
      </w:r>
      <w:r w:rsidRPr="0085443D">
        <w:t>veća</w:t>
      </w:r>
      <w:r w:rsidR="00573C07" w:rsidRPr="0085443D">
        <w:t xml:space="preserve"> </w:t>
      </w:r>
      <w:r w:rsidRPr="0085443D">
        <w:t>materijalna</w:t>
      </w:r>
      <w:r w:rsidR="00573C07" w:rsidRPr="0085443D">
        <w:t xml:space="preserve"> </w:t>
      </w:r>
      <w:r w:rsidRPr="0085443D">
        <w:t>šteta</w:t>
      </w:r>
      <w:r w:rsidR="00573C07" w:rsidRPr="0085443D">
        <w:t xml:space="preserve">, </w:t>
      </w:r>
      <w:r w:rsidRPr="0085443D">
        <w:t>kako</w:t>
      </w:r>
      <w:r w:rsidR="00573C07" w:rsidRPr="0085443D">
        <w:t xml:space="preserve"> </w:t>
      </w:r>
      <w:r w:rsidRPr="0085443D">
        <w:t>na</w:t>
      </w:r>
      <w:r w:rsidR="00573C07" w:rsidRPr="0085443D">
        <w:t xml:space="preserve"> </w:t>
      </w:r>
      <w:r w:rsidRPr="0085443D">
        <w:t>stambenim</w:t>
      </w:r>
      <w:r w:rsidR="00573C07" w:rsidRPr="0085443D">
        <w:t xml:space="preserve"> </w:t>
      </w:r>
      <w:r w:rsidRPr="0085443D">
        <w:t>i</w:t>
      </w:r>
      <w:r w:rsidR="00573C07" w:rsidRPr="0085443D">
        <w:t xml:space="preserve"> </w:t>
      </w:r>
      <w:r w:rsidRPr="0085443D">
        <w:t>ekonomskim</w:t>
      </w:r>
      <w:r w:rsidR="00573C07" w:rsidRPr="0085443D">
        <w:t xml:space="preserve"> </w:t>
      </w:r>
      <w:r w:rsidRPr="0085443D">
        <w:t>objektima</w:t>
      </w:r>
      <w:r w:rsidR="00573C07" w:rsidRPr="0085443D">
        <w:t xml:space="preserve"> </w:t>
      </w:r>
      <w:r w:rsidRPr="0085443D">
        <w:t>tako</w:t>
      </w:r>
      <w:r w:rsidR="00573C07" w:rsidRPr="0085443D">
        <w:t xml:space="preserve"> </w:t>
      </w:r>
      <w:r w:rsidRPr="0085443D">
        <w:t>i</w:t>
      </w:r>
      <w:r w:rsidR="00573C07" w:rsidRPr="0085443D">
        <w:t xml:space="preserve"> </w:t>
      </w:r>
      <w:r w:rsidRPr="0085443D">
        <w:t>na</w:t>
      </w:r>
      <w:r w:rsidR="00573C07" w:rsidRPr="0085443D">
        <w:t xml:space="preserve"> </w:t>
      </w:r>
      <w:r w:rsidRPr="0085443D">
        <w:t>poljoprivrednoj</w:t>
      </w:r>
      <w:r w:rsidR="00573C07" w:rsidRPr="0085443D">
        <w:t xml:space="preserve"> </w:t>
      </w:r>
      <w:r w:rsidRPr="0085443D">
        <w:t>proizvodnji</w:t>
      </w:r>
      <w:r w:rsidR="00573C07" w:rsidRPr="0085443D">
        <w:t xml:space="preserve"> </w:t>
      </w:r>
      <w:r w:rsidRPr="0085443D">
        <w:t>i</w:t>
      </w:r>
      <w:r w:rsidR="00573C07" w:rsidRPr="0085443D">
        <w:t xml:space="preserve"> </w:t>
      </w:r>
      <w:r w:rsidRPr="0085443D">
        <w:t>voćarstvu</w:t>
      </w:r>
      <w:r w:rsidR="00573C07" w:rsidRPr="0085443D">
        <w:t xml:space="preserve">. </w:t>
      </w:r>
      <w:r w:rsidRPr="0085443D">
        <w:t>Ukupno</w:t>
      </w:r>
      <w:r w:rsidR="00573C07" w:rsidRPr="0085443D">
        <w:t xml:space="preserve"> </w:t>
      </w:r>
      <w:r w:rsidRPr="0085443D">
        <w:t>procjenjena</w:t>
      </w:r>
      <w:r w:rsidR="00573C07" w:rsidRPr="0085443D">
        <w:t xml:space="preserve"> </w:t>
      </w:r>
      <w:r w:rsidRPr="0085443D">
        <w:t>šteta</w:t>
      </w:r>
      <w:r w:rsidR="00573C07" w:rsidRPr="0085443D">
        <w:t xml:space="preserve">, </w:t>
      </w:r>
      <w:r w:rsidRPr="0085443D">
        <w:t>kod</w:t>
      </w:r>
      <w:r w:rsidR="00573C07" w:rsidRPr="0085443D">
        <w:t xml:space="preserve"> 55 </w:t>
      </w:r>
      <w:r w:rsidRPr="0085443D">
        <w:t>podnosilaca</w:t>
      </w:r>
      <w:r w:rsidR="00573C07" w:rsidRPr="0085443D">
        <w:t xml:space="preserve"> </w:t>
      </w:r>
      <w:r w:rsidRPr="0085443D">
        <w:t>zahtjeva</w:t>
      </w:r>
      <w:r w:rsidR="00573C07" w:rsidRPr="0085443D">
        <w:t xml:space="preserve">, </w:t>
      </w:r>
      <w:r w:rsidRPr="0085443D">
        <w:t>iznosila</w:t>
      </w:r>
      <w:r w:rsidR="00573C07" w:rsidRPr="0085443D">
        <w:t xml:space="preserve"> </w:t>
      </w:r>
      <w:r w:rsidRPr="0085443D">
        <w:t>je</w:t>
      </w:r>
      <w:r w:rsidR="00573C07" w:rsidRPr="0085443D">
        <w:t xml:space="preserve"> 275.453,50 </w:t>
      </w:r>
      <w:r w:rsidRPr="0085443D">
        <w:t>KM</w:t>
      </w:r>
      <w:r w:rsidR="00573C07" w:rsidRPr="0085443D">
        <w:t>.</w:t>
      </w:r>
    </w:p>
    <w:p w14:paraId="282A1ABF" w14:textId="77777777" w:rsidR="005E5F19" w:rsidRPr="0085443D" w:rsidRDefault="005E5F19" w:rsidP="00C17C49">
      <w:pPr>
        <w:jc w:val="both"/>
      </w:pPr>
      <w:r w:rsidRPr="0085443D">
        <w:rPr>
          <w:rFonts w:cs="Arial"/>
          <w:lang w:val="hr-HR"/>
        </w:rPr>
        <w:t>U proteklom periodu sanirano je 8 klizišta u blizini putnih pravaca, čime je ostvaren doprinos bezbjednosti na putnim pravcima.</w:t>
      </w:r>
      <w:r w:rsidR="006A4F5E" w:rsidRPr="0085443D">
        <w:rPr>
          <w:rFonts w:cs="Arial"/>
          <w:lang w:val="hr-HR"/>
        </w:rPr>
        <w:t xml:space="preserve"> Nakon poplava u maju 2014. godine pristupilo se uređenju korita rijeka Lišnje, Mravice i Vijake, koje su direktno ugrožavale preko 200 domaćinstava i oko 20 poslovnih subjekata. Takođe, tokom 2015. godine izvršena je regulacija korita rijeka Ilove, Mravice, Vijake i Radlovca.</w:t>
      </w:r>
      <w:r w:rsidR="006A4F5E" w:rsidRPr="0085443D">
        <w:t xml:space="preserve"> </w:t>
      </w:r>
      <w:r w:rsidR="006A4F5E" w:rsidRPr="0085443D">
        <w:rPr>
          <w:rFonts w:cs="Arial"/>
          <w:lang w:val="hr-HR"/>
        </w:rPr>
        <w:t xml:space="preserve">Regulisano je ukupno 4950 </w:t>
      </w:r>
      <w:r w:rsidR="003B2C9E" w:rsidRPr="0085443D">
        <w:rPr>
          <w:rFonts w:cs="Arial"/>
          <w:lang w:val="hr-HR"/>
        </w:rPr>
        <w:t>+ 1.154 (Mamutovac)</w:t>
      </w:r>
      <w:r w:rsidR="003B2C9E" w:rsidRPr="0085443D">
        <w:rPr>
          <w:rFonts w:cs="Arial"/>
          <w:color w:val="FF0000"/>
          <w:lang w:val="hr-HR"/>
        </w:rPr>
        <w:t xml:space="preserve"> </w:t>
      </w:r>
      <w:r w:rsidR="006A4F5E" w:rsidRPr="0085443D">
        <w:rPr>
          <w:rFonts w:cs="Arial"/>
          <w:lang w:val="hr-HR"/>
        </w:rPr>
        <w:t>m vodotokova.</w:t>
      </w:r>
      <w:r w:rsidRPr="0085443D">
        <w:rPr>
          <w:rStyle w:val="FootnoteReference"/>
          <w:rFonts w:cs="Arial"/>
          <w:lang w:val="hr-HR"/>
        </w:rPr>
        <w:footnoteReference w:id="16"/>
      </w:r>
      <w:r w:rsidRPr="0085443D">
        <w:rPr>
          <w:rFonts w:cs="Arial"/>
          <w:lang w:val="hr-HR"/>
        </w:rPr>
        <w:t xml:space="preserve"> </w:t>
      </w:r>
    </w:p>
    <w:p w14:paraId="7250D113" w14:textId="77777777" w:rsidR="003B497A" w:rsidRPr="0085443D" w:rsidRDefault="003B497A" w:rsidP="003B497A">
      <w:pPr>
        <w:spacing w:after="80"/>
        <w:jc w:val="both"/>
        <w:rPr>
          <w:b/>
          <w:u w:val="single"/>
        </w:rPr>
      </w:pPr>
    </w:p>
    <w:p w14:paraId="2171AEE1" w14:textId="77777777" w:rsidR="003B497A" w:rsidRPr="0085443D" w:rsidRDefault="00D6421B" w:rsidP="003B497A">
      <w:pPr>
        <w:spacing w:after="80"/>
        <w:jc w:val="both"/>
        <w:rPr>
          <w:u w:val="single"/>
        </w:rPr>
      </w:pPr>
      <w:hyperlink w:anchor="_Toc443859777" w:history="1">
        <w:r w:rsidR="007B3DED" w:rsidRPr="0085443D">
          <w:rPr>
            <w:b/>
            <w:u w:val="single"/>
          </w:rPr>
          <w:t>A</w:t>
        </w:r>
        <w:r w:rsidR="003B497A" w:rsidRPr="0085443D">
          <w:rPr>
            <w:b/>
            <w:u w:val="single"/>
          </w:rPr>
          <w:t>n</w:t>
        </w:r>
        <w:r w:rsidR="007B3DED" w:rsidRPr="0085443D">
          <w:rPr>
            <w:b/>
            <w:u w:val="single"/>
          </w:rPr>
          <w:t>a</w:t>
        </w:r>
        <w:r w:rsidR="003B497A" w:rsidRPr="0085443D">
          <w:rPr>
            <w:b/>
            <w:u w:val="single"/>
          </w:rPr>
          <w:t>liz</w:t>
        </w:r>
        <w:r w:rsidR="007B3DED" w:rsidRPr="0085443D">
          <w:rPr>
            <w:b/>
            <w:u w:val="single"/>
          </w:rPr>
          <w:t>a</w:t>
        </w:r>
        <w:r w:rsidR="003B497A" w:rsidRPr="0085443D">
          <w:rPr>
            <w:b/>
            <w:u w:val="single"/>
          </w:rPr>
          <w:t xml:space="preserve"> budž</w:t>
        </w:r>
        <w:r w:rsidR="007B3DED" w:rsidRPr="0085443D">
          <w:rPr>
            <w:b/>
            <w:u w:val="single"/>
          </w:rPr>
          <w:t>e</w:t>
        </w:r>
        <w:r w:rsidR="003B497A" w:rsidRPr="0085443D">
          <w:rPr>
            <w:b/>
            <w:u w:val="single"/>
          </w:rPr>
          <w:t>t</w:t>
        </w:r>
        <w:r w:rsidR="007B3DED" w:rsidRPr="0085443D">
          <w:rPr>
            <w:b/>
            <w:u w:val="single"/>
          </w:rPr>
          <w:t>a</w:t>
        </w:r>
      </w:hyperlink>
      <w:r w:rsidR="003B497A" w:rsidRPr="0085443D">
        <w:rPr>
          <w:b/>
          <w:u w:val="single"/>
        </w:rPr>
        <w:t xml:space="preserve"> i finansijska procjena za narednih pet godina</w:t>
      </w:r>
    </w:p>
    <w:p w14:paraId="7885B08D" w14:textId="0695C172" w:rsidR="00A73848" w:rsidRPr="00A73848" w:rsidRDefault="00312329" w:rsidP="00A73848">
      <w:pPr>
        <w:jc w:val="both"/>
        <w:rPr>
          <w:b/>
          <w:highlight w:val="cyan"/>
          <w:lang w:val="hr-HR"/>
        </w:rPr>
      </w:pPr>
      <w:r>
        <w:rPr>
          <w:b/>
          <w:szCs w:val="24"/>
        </w:rPr>
        <w:t>T</w:t>
      </w:r>
      <w:r w:rsidR="00EF104C" w:rsidRPr="0085443D">
        <w:rPr>
          <w:szCs w:val="24"/>
        </w:rPr>
        <w:t>okom</w:t>
      </w:r>
      <w:r w:rsidR="00EF104C" w:rsidRPr="0085443D">
        <w:rPr>
          <w:szCs w:val="24"/>
          <w:lang w:val="sr-Cyrl-CS"/>
        </w:rPr>
        <w:t xml:space="preserve"> </w:t>
      </w:r>
      <w:r w:rsidR="00EF104C" w:rsidRPr="0085443D">
        <w:rPr>
          <w:szCs w:val="24"/>
        </w:rPr>
        <w:t>perioda</w:t>
      </w:r>
      <w:r w:rsidR="00EF104C" w:rsidRPr="0085443D">
        <w:rPr>
          <w:szCs w:val="24"/>
          <w:lang w:val="sr-Cyrl-CS"/>
        </w:rPr>
        <w:t xml:space="preserve"> </w:t>
      </w:r>
      <w:r w:rsidR="00EF104C" w:rsidRPr="0085443D">
        <w:rPr>
          <w:szCs w:val="24"/>
        </w:rPr>
        <w:t>2011-2015. godine</w:t>
      </w:r>
      <w:r w:rsidR="00EF104C" w:rsidRPr="0085443D">
        <w:rPr>
          <w:szCs w:val="24"/>
          <w:lang w:val="sr-Cyrl-CS"/>
        </w:rPr>
        <w:t xml:space="preserve"> </w:t>
      </w:r>
      <w:r w:rsidR="00EF104C" w:rsidRPr="0085443D">
        <w:rPr>
          <w:b/>
          <w:szCs w:val="24"/>
        </w:rPr>
        <w:t>od ukupno</w:t>
      </w:r>
      <w:r w:rsidR="00EF104C" w:rsidRPr="0085443D">
        <w:rPr>
          <w:b/>
          <w:szCs w:val="24"/>
          <w:lang w:val="sr-Cyrl-CS"/>
        </w:rPr>
        <w:t xml:space="preserve"> </w:t>
      </w:r>
      <w:r w:rsidR="00EF104C" w:rsidRPr="0085443D">
        <w:rPr>
          <w:b/>
          <w:szCs w:val="24"/>
          <w:lang w:val="sr-Latn-CS"/>
        </w:rPr>
        <w:t>p</w:t>
      </w:r>
      <w:r w:rsidR="00EF104C" w:rsidRPr="0085443D">
        <w:rPr>
          <w:b/>
          <w:szCs w:val="24"/>
        </w:rPr>
        <w:t>laniranih</w:t>
      </w:r>
      <w:r w:rsidR="00EF104C" w:rsidRPr="0085443D">
        <w:rPr>
          <w:b/>
          <w:szCs w:val="24"/>
          <w:lang w:val="sr-Cyrl-CS"/>
        </w:rPr>
        <w:t xml:space="preserve"> </w:t>
      </w:r>
      <w:r w:rsidR="00EF104C" w:rsidRPr="0085443D">
        <w:rPr>
          <w:b/>
          <w:szCs w:val="24"/>
        </w:rPr>
        <w:t>(planovima</w:t>
      </w:r>
      <w:r w:rsidR="00EF104C" w:rsidRPr="0085443D">
        <w:rPr>
          <w:b/>
          <w:szCs w:val="24"/>
          <w:lang w:val="sr-Cyrl-CS"/>
        </w:rPr>
        <w:t xml:space="preserve"> </w:t>
      </w:r>
      <w:r w:rsidR="00EF104C" w:rsidRPr="0085443D">
        <w:rPr>
          <w:b/>
          <w:szCs w:val="24"/>
        </w:rPr>
        <w:t>implementacije)</w:t>
      </w:r>
      <w:r w:rsidR="00EF104C" w:rsidRPr="0085443D">
        <w:rPr>
          <w:b/>
          <w:szCs w:val="24"/>
          <w:lang w:val="sr-Cyrl-CS"/>
        </w:rPr>
        <w:t xml:space="preserve"> </w:t>
      </w:r>
      <w:r w:rsidR="00EF104C" w:rsidRPr="0085443D">
        <w:rPr>
          <w:b/>
          <w:szCs w:val="24"/>
        </w:rPr>
        <w:t>37.571.000 mil KM realizovano</w:t>
      </w:r>
      <w:r w:rsidR="00EF104C" w:rsidRPr="0085443D">
        <w:rPr>
          <w:b/>
          <w:szCs w:val="24"/>
          <w:lang w:val="sr-Cyrl-CS"/>
        </w:rPr>
        <w:t xml:space="preserve"> </w:t>
      </w:r>
      <w:r>
        <w:rPr>
          <w:b/>
          <w:szCs w:val="24"/>
        </w:rPr>
        <w:t xml:space="preserve">je </w:t>
      </w:r>
      <w:r w:rsidR="00EF104C" w:rsidRPr="0085443D">
        <w:rPr>
          <w:b/>
          <w:szCs w:val="24"/>
        </w:rPr>
        <w:t xml:space="preserve">46,85 %. gdje je </w:t>
      </w:r>
      <w:r w:rsidR="00EF104C" w:rsidRPr="0085443D">
        <w:rPr>
          <w:szCs w:val="24"/>
        </w:rPr>
        <w:t>22,11</w:t>
      </w:r>
      <w:r w:rsidR="00EF104C" w:rsidRPr="0085443D">
        <w:rPr>
          <w:b/>
          <w:szCs w:val="24"/>
        </w:rPr>
        <w:t>% ostvareno</w:t>
      </w:r>
      <w:r w:rsidR="00EF104C" w:rsidRPr="0085443D">
        <w:rPr>
          <w:b/>
          <w:szCs w:val="24"/>
          <w:lang w:val="sr-Cyrl-CS"/>
        </w:rPr>
        <w:t xml:space="preserve"> </w:t>
      </w:r>
      <w:r w:rsidR="00EF104C" w:rsidRPr="0085443D">
        <w:rPr>
          <w:b/>
          <w:szCs w:val="24"/>
        </w:rPr>
        <w:t>iz</w:t>
      </w:r>
      <w:r w:rsidR="00EF104C" w:rsidRPr="0085443D">
        <w:rPr>
          <w:b/>
          <w:szCs w:val="24"/>
          <w:lang w:val="sr-Cyrl-CS"/>
        </w:rPr>
        <w:t xml:space="preserve"> </w:t>
      </w:r>
      <w:r w:rsidR="00EF104C" w:rsidRPr="0085443D">
        <w:rPr>
          <w:b/>
          <w:szCs w:val="24"/>
        </w:rPr>
        <w:t>vanjskih</w:t>
      </w:r>
      <w:r w:rsidR="00EF104C" w:rsidRPr="0085443D">
        <w:rPr>
          <w:b/>
          <w:szCs w:val="24"/>
          <w:lang w:val="sr-Cyrl-CS"/>
        </w:rPr>
        <w:t xml:space="preserve"> </w:t>
      </w:r>
      <w:r w:rsidR="00EF104C" w:rsidRPr="0085443D">
        <w:rPr>
          <w:b/>
          <w:szCs w:val="24"/>
        </w:rPr>
        <w:t>izvora</w:t>
      </w:r>
      <w:r w:rsidR="00043C8F" w:rsidRPr="0085443D">
        <w:rPr>
          <w:b/>
          <w:szCs w:val="24"/>
        </w:rPr>
        <w:t>,</w:t>
      </w:r>
      <w:r w:rsidR="00EF104C" w:rsidRPr="0085443D">
        <w:rPr>
          <w:b/>
          <w:szCs w:val="24"/>
        </w:rPr>
        <w:t xml:space="preserve"> a </w:t>
      </w:r>
      <w:r w:rsidR="00EF104C" w:rsidRPr="0085443D">
        <w:rPr>
          <w:szCs w:val="24"/>
        </w:rPr>
        <w:t>77,89</w:t>
      </w:r>
      <w:r w:rsidR="00EF104C" w:rsidRPr="0085443D">
        <w:rPr>
          <w:b/>
          <w:szCs w:val="24"/>
        </w:rPr>
        <w:t>% iz</w:t>
      </w:r>
      <w:r w:rsidR="00EF104C" w:rsidRPr="0085443D">
        <w:rPr>
          <w:b/>
          <w:szCs w:val="24"/>
          <w:lang w:val="sr-Cyrl-CS"/>
        </w:rPr>
        <w:t xml:space="preserve"> </w:t>
      </w:r>
      <w:r w:rsidR="00EF104C" w:rsidRPr="0085443D">
        <w:rPr>
          <w:b/>
          <w:szCs w:val="24"/>
        </w:rPr>
        <w:t>budžeta</w:t>
      </w:r>
      <w:r>
        <w:rPr>
          <w:szCs w:val="24"/>
        </w:rPr>
        <w:t xml:space="preserve">, </w:t>
      </w:r>
      <w:r w:rsidR="00EF104C" w:rsidRPr="0085443D">
        <w:rPr>
          <w:szCs w:val="24"/>
        </w:rPr>
        <w:t xml:space="preserve">od čega je </w:t>
      </w:r>
      <w:r w:rsidR="00EF104C" w:rsidRPr="0085443D">
        <w:rPr>
          <w:b/>
          <w:szCs w:val="24"/>
        </w:rPr>
        <w:t>za</w:t>
      </w:r>
      <w:r w:rsidR="00EF104C" w:rsidRPr="0085443D">
        <w:rPr>
          <w:b/>
          <w:szCs w:val="24"/>
          <w:lang w:val="sr-Cyrl-CS"/>
        </w:rPr>
        <w:t xml:space="preserve"> </w:t>
      </w:r>
      <w:r w:rsidR="00EF104C" w:rsidRPr="0085443D">
        <w:rPr>
          <w:b/>
          <w:szCs w:val="24"/>
        </w:rPr>
        <w:t>ekonomski</w:t>
      </w:r>
      <w:r w:rsidR="00EF104C" w:rsidRPr="0085443D">
        <w:rPr>
          <w:b/>
          <w:szCs w:val="24"/>
          <w:lang w:val="sr-Cyrl-CS"/>
        </w:rPr>
        <w:t xml:space="preserve"> </w:t>
      </w:r>
      <w:r w:rsidR="00EF104C" w:rsidRPr="0085443D">
        <w:rPr>
          <w:b/>
          <w:szCs w:val="24"/>
        </w:rPr>
        <w:t>sektor</w:t>
      </w:r>
      <w:r w:rsidR="00EF104C" w:rsidRPr="0085443D">
        <w:rPr>
          <w:b/>
          <w:szCs w:val="24"/>
          <w:lang w:val="sr-Cyrl-CS"/>
        </w:rPr>
        <w:t xml:space="preserve"> </w:t>
      </w:r>
      <w:r w:rsidR="00EF104C" w:rsidRPr="0085443D">
        <w:rPr>
          <w:b/>
          <w:szCs w:val="24"/>
        </w:rPr>
        <w:t>izdvojeno</w:t>
      </w:r>
      <w:r w:rsidR="00EF104C" w:rsidRPr="0085443D">
        <w:rPr>
          <w:b/>
          <w:szCs w:val="24"/>
          <w:lang w:val="sr-Cyrl-CS"/>
        </w:rPr>
        <w:t xml:space="preserve"> </w:t>
      </w:r>
      <w:r w:rsidR="00EF104C" w:rsidRPr="0085443D">
        <w:rPr>
          <w:b/>
          <w:szCs w:val="24"/>
        </w:rPr>
        <w:t>17,41 %, za</w:t>
      </w:r>
      <w:r w:rsidR="00EF104C" w:rsidRPr="0085443D">
        <w:rPr>
          <w:b/>
          <w:szCs w:val="24"/>
          <w:lang w:val="sr-Cyrl-CS"/>
        </w:rPr>
        <w:t xml:space="preserve"> </w:t>
      </w:r>
      <w:r w:rsidR="00EF104C" w:rsidRPr="0085443D">
        <w:rPr>
          <w:b/>
          <w:szCs w:val="24"/>
        </w:rPr>
        <w:t>sektor</w:t>
      </w:r>
      <w:r w:rsidR="00EF104C" w:rsidRPr="0085443D">
        <w:rPr>
          <w:b/>
          <w:szCs w:val="24"/>
          <w:lang w:val="sr-Cyrl-CS"/>
        </w:rPr>
        <w:t xml:space="preserve"> </w:t>
      </w:r>
      <w:r w:rsidR="00EF104C" w:rsidRPr="0085443D">
        <w:rPr>
          <w:b/>
          <w:szCs w:val="24"/>
        </w:rPr>
        <w:t>društvenog</w:t>
      </w:r>
      <w:r w:rsidR="00EF104C" w:rsidRPr="0085443D">
        <w:rPr>
          <w:b/>
          <w:szCs w:val="24"/>
          <w:lang w:val="sr-Cyrl-CS"/>
        </w:rPr>
        <w:t xml:space="preserve"> </w:t>
      </w:r>
      <w:r w:rsidR="00EF104C" w:rsidRPr="0085443D">
        <w:rPr>
          <w:b/>
          <w:szCs w:val="24"/>
        </w:rPr>
        <w:t>razvoja</w:t>
      </w:r>
      <w:r w:rsidR="00EF104C" w:rsidRPr="0085443D">
        <w:rPr>
          <w:b/>
          <w:szCs w:val="24"/>
          <w:lang w:val="sr-Cyrl-CS"/>
        </w:rPr>
        <w:t xml:space="preserve"> </w:t>
      </w:r>
      <w:r w:rsidR="00EF104C" w:rsidRPr="0085443D">
        <w:rPr>
          <w:szCs w:val="24"/>
        </w:rPr>
        <w:t>79,39</w:t>
      </w:r>
      <w:r w:rsidR="00EF104C" w:rsidRPr="0085443D">
        <w:rPr>
          <w:b/>
          <w:szCs w:val="24"/>
        </w:rPr>
        <w:t>% te</w:t>
      </w:r>
      <w:r w:rsidR="00EF104C" w:rsidRPr="0085443D">
        <w:rPr>
          <w:b/>
          <w:szCs w:val="24"/>
          <w:lang w:val="sr-Cyrl-CS"/>
        </w:rPr>
        <w:t xml:space="preserve"> </w:t>
      </w:r>
      <w:r w:rsidR="00EF104C" w:rsidRPr="0085443D">
        <w:rPr>
          <w:b/>
          <w:szCs w:val="24"/>
        </w:rPr>
        <w:t>za</w:t>
      </w:r>
      <w:r w:rsidR="00EF104C" w:rsidRPr="0085443D">
        <w:rPr>
          <w:b/>
          <w:szCs w:val="24"/>
          <w:lang w:val="sr-Cyrl-CS"/>
        </w:rPr>
        <w:t xml:space="preserve"> </w:t>
      </w:r>
      <w:r w:rsidR="00EF104C" w:rsidRPr="0085443D">
        <w:rPr>
          <w:b/>
          <w:szCs w:val="24"/>
        </w:rPr>
        <w:t>sektor</w:t>
      </w:r>
      <w:r w:rsidR="00EF104C" w:rsidRPr="0085443D">
        <w:rPr>
          <w:b/>
          <w:szCs w:val="24"/>
          <w:lang w:val="sr-Cyrl-CS"/>
        </w:rPr>
        <w:t xml:space="preserve"> </w:t>
      </w:r>
      <w:r w:rsidR="00EF104C" w:rsidRPr="0085443D">
        <w:rPr>
          <w:b/>
          <w:szCs w:val="24"/>
        </w:rPr>
        <w:t>zaštite</w:t>
      </w:r>
      <w:r w:rsidR="00EF104C" w:rsidRPr="0085443D">
        <w:rPr>
          <w:b/>
          <w:szCs w:val="24"/>
          <w:lang w:val="sr-Cyrl-CS"/>
        </w:rPr>
        <w:t xml:space="preserve"> </w:t>
      </w:r>
      <w:r w:rsidR="00EF104C" w:rsidRPr="0085443D">
        <w:rPr>
          <w:b/>
          <w:szCs w:val="24"/>
        </w:rPr>
        <w:t>životne</w:t>
      </w:r>
      <w:r w:rsidR="00EF104C" w:rsidRPr="0085443D">
        <w:rPr>
          <w:b/>
          <w:szCs w:val="24"/>
          <w:lang w:val="sr-Cyrl-CS"/>
        </w:rPr>
        <w:t xml:space="preserve"> </w:t>
      </w:r>
      <w:r w:rsidR="00EF104C" w:rsidRPr="0085443D">
        <w:rPr>
          <w:b/>
          <w:szCs w:val="24"/>
        </w:rPr>
        <w:t>sredine</w:t>
      </w:r>
      <w:r w:rsidR="00EF104C" w:rsidRPr="0085443D">
        <w:rPr>
          <w:b/>
          <w:szCs w:val="24"/>
          <w:lang w:val="sr-Cyrl-CS"/>
        </w:rPr>
        <w:t xml:space="preserve"> </w:t>
      </w:r>
      <w:r w:rsidR="00EF104C" w:rsidRPr="0085443D">
        <w:rPr>
          <w:szCs w:val="24"/>
        </w:rPr>
        <w:t>3,20</w:t>
      </w:r>
      <w:r w:rsidR="00EF104C" w:rsidRPr="0085443D">
        <w:rPr>
          <w:b/>
          <w:szCs w:val="24"/>
        </w:rPr>
        <w:t>%</w:t>
      </w:r>
      <w:r w:rsidR="00EF104C" w:rsidRPr="0085443D">
        <w:rPr>
          <w:szCs w:val="24"/>
        </w:rPr>
        <w:t xml:space="preserve">. </w:t>
      </w:r>
      <w:r>
        <w:rPr>
          <w:szCs w:val="24"/>
        </w:rPr>
        <w:t>Dakle, u</w:t>
      </w:r>
      <w:r w:rsidR="00EF104C" w:rsidRPr="0085443D">
        <w:rPr>
          <w:szCs w:val="24"/>
        </w:rPr>
        <w:t xml:space="preserve"> period</w:t>
      </w:r>
      <w:r w:rsidR="00043C8F" w:rsidRPr="0085443D">
        <w:rPr>
          <w:szCs w:val="24"/>
        </w:rPr>
        <w:t>u</w:t>
      </w:r>
      <w:r w:rsidR="00EF104C" w:rsidRPr="0085443D">
        <w:rPr>
          <w:szCs w:val="24"/>
          <w:lang w:val="sr-Cyrl-CS"/>
        </w:rPr>
        <w:t xml:space="preserve"> </w:t>
      </w:r>
      <w:r w:rsidR="00043C8F" w:rsidRPr="0085443D">
        <w:rPr>
          <w:szCs w:val="24"/>
        </w:rPr>
        <w:t>2011</w:t>
      </w:r>
      <w:r>
        <w:rPr>
          <w:szCs w:val="24"/>
        </w:rPr>
        <w:t>-2015. godine</w:t>
      </w:r>
      <w:r w:rsidR="00EF104C" w:rsidRPr="0085443D">
        <w:rPr>
          <w:szCs w:val="24"/>
        </w:rPr>
        <w:t xml:space="preserve"> za</w:t>
      </w:r>
      <w:r w:rsidR="00EF104C" w:rsidRPr="0085443D">
        <w:rPr>
          <w:szCs w:val="24"/>
          <w:lang w:val="sr-Cyrl-CS"/>
        </w:rPr>
        <w:t xml:space="preserve"> </w:t>
      </w:r>
      <w:r w:rsidR="00EF104C" w:rsidRPr="0085443D">
        <w:rPr>
          <w:szCs w:val="24"/>
        </w:rPr>
        <w:t>implementaciju</w:t>
      </w:r>
      <w:r w:rsidR="00EF104C" w:rsidRPr="0085443D">
        <w:rPr>
          <w:szCs w:val="24"/>
          <w:lang w:val="sr-Cyrl-CS"/>
        </w:rPr>
        <w:t xml:space="preserve"> </w:t>
      </w:r>
      <w:r w:rsidR="00EF104C" w:rsidRPr="0085443D">
        <w:rPr>
          <w:szCs w:val="24"/>
        </w:rPr>
        <w:t>strategije</w:t>
      </w:r>
      <w:r w:rsidR="00EF104C" w:rsidRPr="0085443D">
        <w:rPr>
          <w:szCs w:val="24"/>
          <w:lang w:val="sr-Cyrl-CS"/>
        </w:rPr>
        <w:t xml:space="preserve"> </w:t>
      </w:r>
      <w:r w:rsidR="00EF104C" w:rsidRPr="0085443D">
        <w:rPr>
          <w:szCs w:val="24"/>
        </w:rPr>
        <w:t>ukupno je izdvojeno</w:t>
      </w:r>
      <w:r w:rsidR="00EF104C" w:rsidRPr="0085443D">
        <w:rPr>
          <w:szCs w:val="24"/>
          <w:lang w:val="sr-Cyrl-CS"/>
        </w:rPr>
        <w:t xml:space="preserve"> </w:t>
      </w:r>
      <w:r w:rsidR="00EF104C" w:rsidRPr="0085443D">
        <w:rPr>
          <w:szCs w:val="24"/>
        </w:rPr>
        <w:t>17.601.959,00 KM iz</w:t>
      </w:r>
      <w:r w:rsidR="00EF104C" w:rsidRPr="0085443D">
        <w:rPr>
          <w:szCs w:val="24"/>
          <w:lang w:val="sr-Cyrl-CS"/>
        </w:rPr>
        <w:t xml:space="preserve"> </w:t>
      </w:r>
      <w:r w:rsidR="00EF104C" w:rsidRPr="0085443D">
        <w:rPr>
          <w:szCs w:val="24"/>
        </w:rPr>
        <w:t>budžetskih i</w:t>
      </w:r>
      <w:r w:rsidR="00EF104C" w:rsidRPr="0085443D">
        <w:rPr>
          <w:szCs w:val="24"/>
          <w:lang w:val="sr-Cyrl-CS"/>
        </w:rPr>
        <w:t xml:space="preserve"> </w:t>
      </w:r>
      <w:r w:rsidR="00EF104C" w:rsidRPr="0085443D">
        <w:rPr>
          <w:szCs w:val="24"/>
        </w:rPr>
        <w:t>eksternih</w:t>
      </w:r>
      <w:r w:rsidR="00EF104C" w:rsidRPr="0085443D">
        <w:rPr>
          <w:szCs w:val="24"/>
          <w:lang w:val="sr-Cyrl-CS"/>
        </w:rPr>
        <w:t xml:space="preserve"> </w:t>
      </w:r>
      <w:r w:rsidR="00EF104C" w:rsidRPr="0085443D">
        <w:rPr>
          <w:szCs w:val="24"/>
        </w:rPr>
        <w:t xml:space="preserve">izvora, i to </w:t>
      </w:r>
      <w:r w:rsidR="00EF104C" w:rsidRPr="0085443D">
        <w:rPr>
          <w:b/>
          <w:szCs w:val="24"/>
        </w:rPr>
        <w:t>prosječno 3,5 mil. KM godišnje</w:t>
      </w:r>
      <w:r w:rsidR="00EF104C" w:rsidRPr="0085443D">
        <w:rPr>
          <w:szCs w:val="24"/>
        </w:rPr>
        <w:t>. Iz</w:t>
      </w:r>
      <w:r w:rsidR="00EF104C" w:rsidRPr="0085443D">
        <w:rPr>
          <w:szCs w:val="24"/>
          <w:lang w:val="sr-Cyrl-CS"/>
        </w:rPr>
        <w:t xml:space="preserve"> </w:t>
      </w:r>
      <w:r w:rsidR="00EF104C" w:rsidRPr="0085443D">
        <w:rPr>
          <w:szCs w:val="24"/>
        </w:rPr>
        <w:t>budžeta je izdvojeno</w:t>
      </w:r>
      <w:r w:rsidR="00EF104C" w:rsidRPr="0085443D">
        <w:rPr>
          <w:szCs w:val="24"/>
          <w:lang w:val="sr-Cyrl-CS"/>
        </w:rPr>
        <w:t xml:space="preserve"> </w:t>
      </w:r>
      <w:r w:rsidR="00EF104C" w:rsidRPr="0085443D">
        <w:rPr>
          <w:szCs w:val="24"/>
        </w:rPr>
        <w:t>ukupno</w:t>
      </w:r>
      <w:r w:rsidR="00EF104C" w:rsidRPr="0085443D">
        <w:rPr>
          <w:szCs w:val="24"/>
          <w:lang w:val="sr-Cyrl-CS"/>
        </w:rPr>
        <w:t xml:space="preserve"> </w:t>
      </w:r>
      <w:r w:rsidR="00EF104C" w:rsidRPr="0085443D">
        <w:rPr>
          <w:szCs w:val="24"/>
        </w:rPr>
        <w:t>13.710.023,00 KM, godišnje u prosjeku</w:t>
      </w:r>
      <w:r w:rsidR="00EF104C" w:rsidRPr="0085443D">
        <w:rPr>
          <w:szCs w:val="24"/>
          <w:lang w:val="sr-Cyrl-CS"/>
        </w:rPr>
        <w:t xml:space="preserve"> </w:t>
      </w:r>
      <w:r w:rsidR="00EF104C" w:rsidRPr="0085443D">
        <w:rPr>
          <w:szCs w:val="24"/>
        </w:rPr>
        <w:t>2,74 mil KM,</w:t>
      </w:r>
      <w:r w:rsidR="00EF104C" w:rsidRPr="0085443D">
        <w:rPr>
          <w:szCs w:val="24"/>
          <w:lang w:val="sr-Cyrl-CS"/>
        </w:rPr>
        <w:t xml:space="preserve"> </w:t>
      </w:r>
      <w:r w:rsidR="00EF104C" w:rsidRPr="0085443D">
        <w:rPr>
          <w:szCs w:val="24"/>
        </w:rPr>
        <w:t>iz</w:t>
      </w:r>
      <w:r w:rsidR="00EF104C" w:rsidRPr="0085443D">
        <w:rPr>
          <w:szCs w:val="24"/>
          <w:lang w:val="sr-Cyrl-CS"/>
        </w:rPr>
        <w:t xml:space="preserve"> </w:t>
      </w:r>
      <w:r w:rsidR="00EF104C" w:rsidRPr="0085443D">
        <w:rPr>
          <w:szCs w:val="24"/>
        </w:rPr>
        <w:t>eksternih</w:t>
      </w:r>
      <w:r w:rsidR="00EF104C" w:rsidRPr="0085443D">
        <w:rPr>
          <w:szCs w:val="24"/>
          <w:lang w:val="sr-Cyrl-CS"/>
        </w:rPr>
        <w:t xml:space="preserve"> </w:t>
      </w:r>
      <w:r w:rsidR="00EF104C" w:rsidRPr="0085443D">
        <w:rPr>
          <w:szCs w:val="24"/>
        </w:rPr>
        <w:t>izvora</w:t>
      </w:r>
      <w:r w:rsidR="00EF104C" w:rsidRPr="0085443D">
        <w:rPr>
          <w:szCs w:val="24"/>
          <w:lang w:val="sr-Cyrl-CS"/>
        </w:rPr>
        <w:t xml:space="preserve"> </w:t>
      </w:r>
      <w:r w:rsidR="00EF104C" w:rsidRPr="0085443D">
        <w:rPr>
          <w:szCs w:val="24"/>
        </w:rPr>
        <w:t>3.891.936,00KM, prosječno</w:t>
      </w:r>
      <w:r w:rsidR="00EF104C" w:rsidRPr="0085443D">
        <w:rPr>
          <w:szCs w:val="24"/>
          <w:lang w:val="sr-Cyrl-CS"/>
        </w:rPr>
        <w:t xml:space="preserve"> </w:t>
      </w:r>
      <w:r w:rsidR="00EF104C" w:rsidRPr="0085443D">
        <w:rPr>
          <w:szCs w:val="24"/>
        </w:rPr>
        <w:t xml:space="preserve">778.387,00 KM. </w:t>
      </w:r>
      <w:r w:rsidR="00A73848" w:rsidRPr="00A73848">
        <w:rPr>
          <w:highlight w:val="cyan"/>
          <w:lang w:val="sr-Cyrl-BA"/>
        </w:rPr>
        <w:t>Planom implementacije za period 2016-2018. godina predviđena je realizacija 21 projekta ukupne vrijednosti 3.936.535,00</w:t>
      </w:r>
      <w:r w:rsidR="00A73848" w:rsidRPr="00A73848">
        <w:rPr>
          <w:highlight w:val="cyan"/>
        </w:rPr>
        <w:t xml:space="preserve"> </w:t>
      </w:r>
      <w:r w:rsidR="00A73848" w:rsidRPr="00A73848">
        <w:rPr>
          <w:highlight w:val="cyan"/>
          <w:lang w:val="sr-Cyrl-BA"/>
        </w:rPr>
        <w:t>KM. U 2016. godini započeta je realizacija 18 projekata, od kojih je 10 potpuno realizovano</w:t>
      </w:r>
      <w:r w:rsidR="00A73848" w:rsidRPr="00A73848">
        <w:rPr>
          <w:highlight w:val="cyan"/>
        </w:rPr>
        <w:t xml:space="preserve">. </w:t>
      </w:r>
      <w:r w:rsidR="00A73848" w:rsidRPr="00A73848">
        <w:rPr>
          <w:highlight w:val="cyan"/>
          <w:lang w:val="sr-Cyrl-BA"/>
        </w:rPr>
        <w:t xml:space="preserve">Procenat realizacije projekata u </w:t>
      </w:r>
      <w:r w:rsidR="00A73848" w:rsidRPr="00A73848">
        <w:rPr>
          <w:highlight w:val="cyan"/>
        </w:rPr>
        <w:t>navedenoj</w:t>
      </w:r>
      <w:r w:rsidR="00A73848" w:rsidRPr="00A73848">
        <w:rPr>
          <w:highlight w:val="cyan"/>
          <w:lang w:val="sr-Cyrl-BA"/>
        </w:rPr>
        <w:t xml:space="preserve"> godini je zadovoljavajući</w:t>
      </w:r>
      <w:r w:rsidR="00A73848" w:rsidRPr="00A73848">
        <w:rPr>
          <w:highlight w:val="cyan"/>
          <w:lang w:val="hr-HR"/>
        </w:rPr>
        <w:t xml:space="preserve">. </w:t>
      </w:r>
      <w:r w:rsidR="00A73848" w:rsidRPr="00A73848">
        <w:rPr>
          <w:highlight w:val="cyan"/>
          <w:lang w:val="sr-Cyrl-BA"/>
        </w:rPr>
        <w:t>Ukupna vrijednost realizovanih projekata je 2.406.251,23 KM, što je 61% realizacije u odnosu na projektovani finansijski okvir. 81% vrijednosti projekata realizovano je iz budžeta opštine Prnjavor, a ostalo iz spoljnih izvora.</w:t>
      </w:r>
    </w:p>
    <w:p w14:paraId="5C497D29" w14:textId="3BD30D14" w:rsidR="00EF104C" w:rsidRPr="00A73848" w:rsidRDefault="00A73848" w:rsidP="00A73848">
      <w:pPr>
        <w:jc w:val="both"/>
        <w:rPr>
          <w:szCs w:val="24"/>
        </w:rPr>
      </w:pPr>
      <w:r w:rsidRPr="00A73848">
        <w:rPr>
          <w:szCs w:val="24"/>
          <w:highlight w:val="cyan"/>
        </w:rPr>
        <w:t>Planom implementacije za 2017. godinu za implementaciju strategije predviđeno je  1.928.934,00KM.</w:t>
      </w:r>
    </w:p>
    <w:p w14:paraId="3D520260" w14:textId="77777777" w:rsidR="00EF104C" w:rsidRPr="0085443D" w:rsidRDefault="00EF104C" w:rsidP="00EF104C">
      <w:pPr>
        <w:jc w:val="both"/>
        <w:rPr>
          <w:szCs w:val="24"/>
        </w:rPr>
      </w:pPr>
      <w:r w:rsidRPr="0085443D">
        <w:rPr>
          <w:szCs w:val="24"/>
        </w:rPr>
        <w:t>Kada je riječ o finansijskom</w:t>
      </w:r>
      <w:r w:rsidRPr="0085443D">
        <w:rPr>
          <w:szCs w:val="24"/>
          <w:lang w:val="sr-Cyrl-CS"/>
        </w:rPr>
        <w:t xml:space="preserve"> </w:t>
      </w:r>
      <w:r w:rsidRPr="0085443D">
        <w:rPr>
          <w:szCs w:val="24"/>
        </w:rPr>
        <w:t>stanju</w:t>
      </w:r>
      <w:r w:rsidRPr="0085443D">
        <w:rPr>
          <w:szCs w:val="24"/>
          <w:lang w:val="sr-Cyrl-CS"/>
        </w:rPr>
        <w:t xml:space="preserve"> </w:t>
      </w:r>
      <w:r w:rsidRPr="0085443D">
        <w:rPr>
          <w:szCs w:val="24"/>
        </w:rPr>
        <w:t>Opštine</w:t>
      </w:r>
      <w:r w:rsidRPr="0085443D">
        <w:rPr>
          <w:szCs w:val="24"/>
          <w:lang w:val="sr-Cyrl-CS"/>
        </w:rPr>
        <w:t xml:space="preserve"> </w:t>
      </w:r>
      <w:r w:rsidRPr="0085443D">
        <w:rPr>
          <w:szCs w:val="24"/>
        </w:rPr>
        <w:t>Prnjavor</w:t>
      </w:r>
      <w:r w:rsidRPr="0085443D">
        <w:rPr>
          <w:b/>
          <w:szCs w:val="24"/>
          <w:lang w:val="sr-Cyrl-CS"/>
        </w:rPr>
        <w:t xml:space="preserve"> </w:t>
      </w:r>
      <w:r w:rsidRPr="0085443D">
        <w:rPr>
          <w:szCs w:val="24"/>
          <w:lang w:val="sr-Latn-CS"/>
        </w:rPr>
        <w:t>z</w:t>
      </w:r>
      <w:r w:rsidRPr="0085443D">
        <w:rPr>
          <w:szCs w:val="24"/>
        </w:rPr>
        <w:t>a</w:t>
      </w:r>
      <w:r w:rsidRPr="0085443D">
        <w:rPr>
          <w:szCs w:val="24"/>
          <w:lang w:val="sr-Cyrl-CS"/>
        </w:rPr>
        <w:t xml:space="preserve"> </w:t>
      </w:r>
      <w:r w:rsidRPr="0085443D">
        <w:rPr>
          <w:szCs w:val="24"/>
        </w:rPr>
        <w:t>servisiranje kreditnih obaveza u narednih 5 godina će biti potrebno godišnje izdvojiti oko 8.000.000,00 KM, što je godišnje u prosjeku oko 1.600.000,00 KM.</w:t>
      </w:r>
    </w:p>
    <w:p w14:paraId="2B011C9D" w14:textId="77777777" w:rsidR="00EF104C" w:rsidRPr="0085443D" w:rsidRDefault="00EF104C" w:rsidP="00EF104C">
      <w:pPr>
        <w:spacing w:before="60" w:after="60"/>
        <w:jc w:val="both"/>
        <w:rPr>
          <w:b/>
          <w:lang w:val="hr-BA"/>
        </w:rPr>
      </w:pPr>
      <w:r w:rsidRPr="0085443D">
        <w:rPr>
          <w:b/>
          <w:lang w:val="hr-BA"/>
        </w:rPr>
        <w:t>Pregled po glavnim izvorima finansiranja za period 2017-2020. godine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2"/>
        <w:gridCol w:w="1432"/>
        <w:gridCol w:w="1432"/>
        <w:gridCol w:w="1432"/>
        <w:gridCol w:w="1434"/>
        <w:gridCol w:w="1108"/>
      </w:tblGrid>
      <w:tr w:rsidR="00EF104C" w:rsidRPr="0085443D" w14:paraId="7AE36958" w14:textId="77777777" w:rsidTr="00277198">
        <w:trPr>
          <w:trHeight w:val="440"/>
        </w:trPr>
        <w:tc>
          <w:tcPr>
            <w:tcW w:w="1343" w:type="pct"/>
            <w:vMerge w:val="restart"/>
            <w:vAlign w:val="center"/>
          </w:tcPr>
          <w:p w14:paraId="64B38B00" w14:textId="77777777" w:rsidR="00EF104C" w:rsidRPr="0085443D" w:rsidRDefault="00EF104C" w:rsidP="0027728A">
            <w:pPr>
              <w:jc w:val="center"/>
              <w:rPr>
                <w:b/>
                <w:lang w:val="hr-BA"/>
              </w:rPr>
            </w:pPr>
            <w:r w:rsidRPr="0085443D">
              <w:rPr>
                <w:b/>
                <w:lang w:val="hr-BA"/>
              </w:rPr>
              <w:t xml:space="preserve">Izvori finansiranja lokalne razvojne strategije </w:t>
            </w:r>
          </w:p>
        </w:tc>
        <w:tc>
          <w:tcPr>
            <w:tcW w:w="3064" w:type="pct"/>
            <w:gridSpan w:val="4"/>
            <w:vAlign w:val="center"/>
          </w:tcPr>
          <w:p w14:paraId="56E86247" w14:textId="77777777" w:rsidR="00EF104C" w:rsidRPr="0085443D" w:rsidRDefault="00EF104C" w:rsidP="0027728A">
            <w:pPr>
              <w:jc w:val="center"/>
              <w:rPr>
                <w:b/>
                <w:lang w:val="hr-BA"/>
              </w:rPr>
            </w:pPr>
            <w:r w:rsidRPr="0085443D">
              <w:rPr>
                <w:b/>
                <w:lang w:val="hr-BA"/>
              </w:rPr>
              <w:t>Okvirna procjena po godinama</w:t>
            </w:r>
          </w:p>
        </w:tc>
        <w:tc>
          <w:tcPr>
            <w:tcW w:w="593" w:type="pct"/>
            <w:vMerge w:val="restart"/>
            <w:vAlign w:val="center"/>
          </w:tcPr>
          <w:p w14:paraId="2C0F317C" w14:textId="77777777" w:rsidR="00EF104C" w:rsidRPr="0085443D" w:rsidRDefault="00EF104C" w:rsidP="0027728A">
            <w:pPr>
              <w:jc w:val="center"/>
              <w:rPr>
                <w:b/>
                <w:lang w:val="hr-BA"/>
              </w:rPr>
            </w:pPr>
            <w:r w:rsidRPr="0085443D">
              <w:rPr>
                <w:b/>
                <w:lang w:val="hr-BA"/>
              </w:rPr>
              <w:t>UKUPNO</w:t>
            </w:r>
          </w:p>
          <w:p w14:paraId="5DEA26E8" w14:textId="77777777" w:rsidR="00EF104C" w:rsidRPr="0085443D" w:rsidRDefault="00EF104C" w:rsidP="0027728A">
            <w:pPr>
              <w:jc w:val="center"/>
              <w:rPr>
                <w:b/>
                <w:lang w:val="hr-BA"/>
              </w:rPr>
            </w:pPr>
            <w:r w:rsidRPr="0085443D">
              <w:rPr>
                <w:lang w:val="hr-BA"/>
              </w:rPr>
              <w:t>(u KM)</w:t>
            </w:r>
          </w:p>
        </w:tc>
      </w:tr>
      <w:tr w:rsidR="00EF104C" w:rsidRPr="0085443D" w14:paraId="4E9334F9" w14:textId="77777777" w:rsidTr="00277198">
        <w:trPr>
          <w:trHeight w:val="440"/>
        </w:trPr>
        <w:tc>
          <w:tcPr>
            <w:tcW w:w="1343" w:type="pct"/>
            <w:vMerge/>
            <w:vAlign w:val="center"/>
          </w:tcPr>
          <w:p w14:paraId="014D57B9" w14:textId="77777777" w:rsidR="00EF104C" w:rsidRPr="0085443D" w:rsidRDefault="00EF104C" w:rsidP="0027728A">
            <w:pPr>
              <w:jc w:val="center"/>
              <w:rPr>
                <w:b/>
                <w:lang w:val="hr-BA"/>
              </w:rPr>
            </w:pPr>
          </w:p>
        </w:tc>
        <w:tc>
          <w:tcPr>
            <w:tcW w:w="766" w:type="pct"/>
            <w:shd w:val="pct25" w:color="auto" w:fill="auto"/>
            <w:vAlign w:val="center"/>
          </w:tcPr>
          <w:p w14:paraId="0F2B0656" w14:textId="77777777" w:rsidR="00EF104C" w:rsidRPr="0085443D" w:rsidRDefault="00EF104C" w:rsidP="0027728A">
            <w:pPr>
              <w:jc w:val="center"/>
              <w:rPr>
                <w:b/>
                <w:lang w:val="hr-BA"/>
              </w:rPr>
            </w:pPr>
            <w:r w:rsidRPr="0085443D">
              <w:rPr>
                <w:b/>
                <w:lang w:val="hr-BA"/>
              </w:rPr>
              <w:t>2017</w:t>
            </w:r>
          </w:p>
        </w:tc>
        <w:tc>
          <w:tcPr>
            <w:tcW w:w="766" w:type="pct"/>
            <w:shd w:val="pct15" w:color="auto" w:fill="auto"/>
            <w:vAlign w:val="center"/>
          </w:tcPr>
          <w:p w14:paraId="009ED894" w14:textId="77777777" w:rsidR="00EF104C" w:rsidRPr="0085443D" w:rsidRDefault="00EF104C" w:rsidP="0027728A">
            <w:pPr>
              <w:jc w:val="center"/>
              <w:rPr>
                <w:b/>
                <w:lang w:val="hr-BA"/>
              </w:rPr>
            </w:pPr>
            <w:r w:rsidRPr="0085443D">
              <w:rPr>
                <w:b/>
                <w:lang w:val="hr-BA"/>
              </w:rPr>
              <w:t>2018</w:t>
            </w:r>
          </w:p>
        </w:tc>
        <w:tc>
          <w:tcPr>
            <w:tcW w:w="766" w:type="pct"/>
            <w:shd w:val="pct15" w:color="auto" w:fill="auto"/>
            <w:vAlign w:val="center"/>
          </w:tcPr>
          <w:p w14:paraId="68E761BE" w14:textId="77777777" w:rsidR="00EF104C" w:rsidRPr="0085443D" w:rsidRDefault="00EF104C" w:rsidP="0027728A">
            <w:pPr>
              <w:jc w:val="center"/>
              <w:rPr>
                <w:b/>
                <w:lang w:val="hr-BA"/>
              </w:rPr>
            </w:pPr>
            <w:r w:rsidRPr="0085443D">
              <w:rPr>
                <w:b/>
                <w:lang w:val="hr-BA"/>
              </w:rPr>
              <w:t>2019</w:t>
            </w:r>
          </w:p>
        </w:tc>
        <w:tc>
          <w:tcPr>
            <w:tcW w:w="767" w:type="pct"/>
            <w:shd w:val="pct5" w:color="auto" w:fill="auto"/>
            <w:vAlign w:val="center"/>
          </w:tcPr>
          <w:p w14:paraId="0F9DB285" w14:textId="77777777" w:rsidR="00EF104C" w:rsidRPr="0085443D" w:rsidRDefault="00EF104C" w:rsidP="0027728A">
            <w:pPr>
              <w:jc w:val="center"/>
              <w:rPr>
                <w:b/>
                <w:lang w:val="hr-BA"/>
              </w:rPr>
            </w:pPr>
            <w:r w:rsidRPr="0085443D">
              <w:rPr>
                <w:b/>
                <w:lang w:val="hr-BA"/>
              </w:rPr>
              <w:t>2020</w:t>
            </w:r>
          </w:p>
        </w:tc>
        <w:tc>
          <w:tcPr>
            <w:tcW w:w="593" w:type="pct"/>
            <w:vMerge/>
            <w:vAlign w:val="center"/>
          </w:tcPr>
          <w:p w14:paraId="2FD662A6" w14:textId="77777777" w:rsidR="00EF104C" w:rsidRPr="0085443D" w:rsidRDefault="00EF104C" w:rsidP="0027728A">
            <w:pPr>
              <w:jc w:val="center"/>
              <w:rPr>
                <w:b/>
                <w:lang w:val="hr-BA"/>
              </w:rPr>
            </w:pPr>
          </w:p>
        </w:tc>
      </w:tr>
      <w:tr w:rsidR="00EF104C" w:rsidRPr="0085443D" w14:paraId="4240A65D" w14:textId="77777777" w:rsidTr="00277198">
        <w:trPr>
          <w:trHeight w:val="188"/>
        </w:trPr>
        <w:tc>
          <w:tcPr>
            <w:tcW w:w="1343" w:type="pct"/>
            <w:vAlign w:val="center"/>
          </w:tcPr>
          <w:p w14:paraId="006416EB" w14:textId="77777777" w:rsidR="00EF104C" w:rsidRPr="0085443D" w:rsidRDefault="00EF104C" w:rsidP="0027728A">
            <w:pPr>
              <w:spacing w:before="60" w:after="60"/>
              <w:rPr>
                <w:lang w:val="hr-BA"/>
              </w:rPr>
            </w:pPr>
            <w:r w:rsidRPr="0085443D">
              <w:rPr>
                <w:lang w:val="hr-BA"/>
              </w:rPr>
              <w:t>Iz budžeta opštine Prnjavor(u KM)</w:t>
            </w:r>
          </w:p>
        </w:tc>
        <w:tc>
          <w:tcPr>
            <w:tcW w:w="766" w:type="pct"/>
            <w:vAlign w:val="center"/>
          </w:tcPr>
          <w:p w14:paraId="1ACFDC69" w14:textId="77777777" w:rsidR="00EF104C" w:rsidRPr="0085443D" w:rsidRDefault="00EF104C" w:rsidP="0027728A">
            <w:pPr>
              <w:jc w:val="right"/>
            </w:pPr>
            <w:r w:rsidRPr="0085443D">
              <w:t>1.900.000</w:t>
            </w:r>
          </w:p>
        </w:tc>
        <w:tc>
          <w:tcPr>
            <w:tcW w:w="766" w:type="pct"/>
            <w:vAlign w:val="center"/>
          </w:tcPr>
          <w:p w14:paraId="334773F9" w14:textId="77777777" w:rsidR="00EF104C" w:rsidRPr="0085443D" w:rsidRDefault="00EF104C" w:rsidP="0027728A">
            <w:pPr>
              <w:jc w:val="right"/>
            </w:pPr>
            <w:r w:rsidRPr="0085443D">
              <w:t>2.000.000</w:t>
            </w:r>
          </w:p>
        </w:tc>
        <w:tc>
          <w:tcPr>
            <w:tcW w:w="766" w:type="pct"/>
            <w:vAlign w:val="center"/>
          </w:tcPr>
          <w:p w14:paraId="5738F8CA" w14:textId="77777777" w:rsidR="00EF104C" w:rsidRPr="0085443D" w:rsidRDefault="00EF104C" w:rsidP="0027728A">
            <w:pPr>
              <w:jc w:val="right"/>
            </w:pPr>
            <w:r w:rsidRPr="0085443D">
              <w:t>2.000.000</w:t>
            </w:r>
          </w:p>
        </w:tc>
        <w:tc>
          <w:tcPr>
            <w:tcW w:w="767" w:type="pct"/>
            <w:vAlign w:val="center"/>
          </w:tcPr>
          <w:p w14:paraId="3FAD3559" w14:textId="77777777" w:rsidR="00EF104C" w:rsidRPr="0085443D" w:rsidRDefault="00EF104C" w:rsidP="0027728A">
            <w:pPr>
              <w:jc w:val="right"/>
            </w:pPr>
            <w:r w:rsidRPr="0085443D">
              <w:t>2.000.000</w:t>
            </w:r>
          </w:p>
        </w:tc>
        <w:tc>
          <w:tcPr>
            <w:tcW w:w="593" w:type="pct"/>
            <w:vAlign w:val="center"/>
          </w:tcPr>
          <w:p w14:paraId="72E47A9C" w14:textId="77777777" w:rsidR="00EF104C" w:rsidRPr="0085443D" w:rsidRDefault="00EF104C" w:rsidP="0027728A">
            <w:pPr>
              <w:jc w:val="right"/>
            </w:pPr>
            <w:r w:rsidRPr="0085443D">
              <w:t>7.900.000</w:t>
            </w:r>
          </w:p>
        </w:tc>
      </w:tr>
      <w:tr w:rsidR="00EF104C" w:rsidRPr="0085443D" w14:paraId="19382BC6" w14:textId="77777777" w:rsidTr="00277198">
        <w:trPr>
          <w:trHeight w:val="539"/>
        </w:trPr>
        <w:tc>
          <w:tcPr>
            <w:tcW w:w="1343" w:type="pct"/>
            <w:vAlign w:val="center"/>
          </w:tcPr>
          <w:p w14:paraId="453B02A5" w14:textId="77777777" w:rsidR="00EF104C" w:rsidRPr="0085443D" w:rsidRDefault="00EF104C" w:rsidP="0027728A">
            <w:pPr>
              <w:spacing w:before="60" w:after="60"/>
              <w:rPr>
                <w:lang w:val="hr-BA"/>
              </w:rPr>
            </w:pPr>
            <w:r w:rsidRPr="0085443D">
              <w:rPr>
                <w:lang w:val="hr-BA"/>
              </w:rPr>
              <w:t>Eksterni izvori (</w:t>
            </w:r>
            <w:r w:rsidRPr="0085443D">
              <w:rPr>
                <w:i/>
                <w:lang w:val="hr-BA"/>
              </w:rPr>
              <w:t>krediti, entiteti, kantoni, država, javna preduzeća i privatni izvori</w:t>
            </w:r>
            <w:r w:rsidRPr="0085443D">
              <w:rPr>
                <w:lang w:val="hr-BA"/>
              </w:rPr>
              <w:t>) (u KM)</w:t>
            </w:r>
          </w:p>
        </w:tc>
        <w:tc>
          <w:tcPr>
            <w:tcW w:w="766" w:type="pct"/>
            <w:vAlign w:val="center"/>
          </w:tcPr>
          <w:p w14:paraId="03E14B03" w14:textId="77777777" w:rsidR="00EF104C" w:rsidRPr="0085443D" w:rsidRDefault="00EF104C" w:rsidP="0027728A">
            <w:pPr>
              <w:jc w:val="right"/>
            </w:pPr>
            <w:r w:rsidRPr="0085443D">
              <w:t>100.000*</w:t>
            </w:r>
          </w:p>
        </w:tc>
        <w:tc>
          <w:tcPr>
            <w:tcW w:w="766" w:type="pct"/>
            <w:vAlign w:val="center"/>
          </w:tcPr>
          <w:p w14:paraId="7507681C" w14:textId="77777777" w:rsidR="00EF104C" w:rsidRPr="0085443D" w:rsidRDefault="00EF104C" w:rsidP="0027728A">
            <w:pPr>
              <w:jc w:val="right"/>
            </w:pPr>
            <w:r w:rsidRPr="0085443D">
              <w:t>0,00</w:t>
            </w:r>
          </w:p>
        </w:tc>
        <w:tc>
          <w:tcPr>
            <w:tcW w:w="766" w:type="pct"/>
            <w:vAlign w:val="center"/>
          </w:tcPr>
          <w:p w14:paraId="3831F8F4" w14:textId="77777777" w:rsidR="00EF104C" w:rsidRPr="0085443D" w:rsidRDefault="00EF104C" w:rsidP="0027728A">
            <w:pPr>
              <w:jc w:val="right"/>
            </w:pPr>
            <w:r w:rsidRPr="0085443D">
              <w:t>0,00</w:t>
            </w:r>
          </w:p>
        </w:tc>
        <w:tc>
          <w:tcPr>
            <w:tcW w:w="767" w:type="pct"/>
            <w:vAlign w:val="center"/>
          </w:tcPr>
          <w:p w14:paraId="70286900" w14:textId="77777777" w:rsidR="00EF104C" w:rsidRPr="0085443D" w:rsidRDefault="00EF104C" w:rsidP="0027728A">
            <w:pPr>
              <w:jc w:val="right"/>
            </w:pPr>
            <w:r w:rsidRPr="0085443D">
              <w:t>0,00</w:t>
            </w:r>
          </w:p>
        </w:tc>
        <w:tc>
          <w:tcPr>
            <w:tcW w:w="593" w:type="pct"/>
            <w:vAlign w:val="center"/>
          </w:tcPr>
          <w:p w14:paraId="59512653" w14:textId="77777777" w:rsidR="00EF104C" w:rsidRPr="0085443D" w:rsidRDefault="00EF104C" w:rsidP="0027728A">
            <w:pPr>
              <w:jc w:val="right"/>
            </w:pPr>
            <w:r w:rsidRPr="0085443D">
              <w:t>100.000</w:t>
            </w:r>
          </w:p>
        </w:tc>
      </w:tr>
      <w:tr w:rsidR="00EF104C" w:rsidRPr="0085443D" w14:paraId="50219AAF" w14:textId="77777777" w:rsidTr="00277198">
        <w:trPr>
          <w:trHeight w:val="350"/>
        </w:trPr>
        <w:tc>
          <w:tcPr>
            <w:tcW w:w="1343" w:type="pct"/>
            <w:vAlign w:val="center"/>
          </w:tcPr>
          <w:p w14:paraId="1AF41ACE" w14:textId="77777777" w:rsidR="00EF104C" w:rsidRPr="0085443D" w:rsidRDefault="00EF104C" w:rsidP="0027728A">
            <w:pPr>
              <w:spacing w:before="60" w:after="60"/>
              <w:rPr>
                <w:lang w:val="hr-BA"/>
              </w:rPr>
            </w:pPr>
            <w:r w:rsidRPr="0085443D">
              <w:rPr>
                <w:lang w:val="hr-BA"/>
              </w:rPr>
              <w:t>Eksterni izvori (</w:t>
            </w:r>
            <w:r w:rsidRPr="0085443D">
              <w:rPr>
                <w:i/>
                <w:lang w:val="hr-BA"/>
              </w:rPr>
              <w:t>IPA, donatori i ostalo</w:t>
            </w:r>
            <w:r w:rsidRPr="0085443D">
              <w:rPr>
                <w:lang w:val="hr-BA"/>
              </w:rPr>
              <w:t>) (u KM)</w:t>
            </w:r>
          </w:p>
        </w:tc>
        <w:tc>
          <w:tcPr>
            <w:tcW w:w="766" w:type="pct"/>
            <w:vAlign w:val="center"/>
          </w:tcPr>
          <w:p w14:paraId="21B51C71" w14:textId="77777777" w:rsidR="00EF104C" w:rsidRPr="0085443D" w:rsidRDefault="00EF104C" w:rsidP="0027728A">
            <w:pPr>
              <w:jc w:val="right"/>
            </w:pPr>
            <w:r w:rsidRPr="0085443D">
              <w:t>0,00</w:t>
            </w:r>
          </w:p>
        </w:tc>
        <w:tc>
          <w:tcPr>
            <w:tcW w:w="766" w:type="pct"/>
            <w:vAlign w:val="center"/>
          </w:tcPr>
          <w:p w14:paraId="3C10D918" w14:textId="77777777" w:rsidR="00EF104C" w:rsidRPr="0085443D" w:rsidRDefault="00EF104C" w:rsidP="0027728A">
            <w:pPr>
              <w:jc w:val="right"/>
            </w:pPr>
            <w:r w:rsidRPr="0085443D">
              <w:t>0,00</w:t>
            </w:r>
          </w:p>
        </w:tc>
        <w:tc>
          <w:tcPr>
            <w:tcW w:w="766" w:type="pct"/>
            <w:vAlign w:val="center"/>
          </w:tcPr>
          <w:p w14:paraId="6D65307A" w14:textId="77777777" w:rsidR="00EF104C" w:rsidRPr="0085443D" w:rsidRDefault="00EF104C" w:rsidP="0027728A">
            <w:pPr>
              <w:jc w:val="right"/>
            </w:pPr>
            <w:r w:rsidRPr="0085443D">
              <w:t>0,00</w:t>
            </w:r>
          </w:p>
        </w:tc>
        <w:tc>
          <w:tcPr>
            <w:tcW w:w="767" w:type="pct"/>
            <w:vAlign w:val="center"/>
          </w:tcPr>
          <w:p w14:paraId="5E01B274" w14:textId="77777777" w:rsidR="00EF104C" w:rsidRPr="0085443D" w:rsidRDefault="00EF104C" w:rsidP="0027728A">
            <w:pPr>
              <w:jc w:val="right"/>
            </w:pPr>
            <w:r w:rsidRPr="0085443D">
              <w:t>0,00</w:t>
            </w:r>
          </w:p>
        </w:tc>
        <w:tc>
          <w:tcPr>
            <w:tcW w:w="593" w:type="pct"/>
            <w:vAlign w:val="center"/>
          </w:tcPr>
          <w:p w14:paraId="0227E8FB" w14:textId="77777777" w:rsidR="00EF104C" w:rsidRPr="0085443D" w:rsidRDefault="00EF104C" w:rsidP="0027728A">
            <w:pPr>
              <w:jc w:val="right"/>
            </w:pPr>
            <w:r w:rsidRPr="0085443D">
              <w:t>0,00</w:t>
            </w:r>
          </w:p>
        </w:tc>
      </w:tr>
      <w:tr w:rsidR="00EF104C" w:rsidRPr="0085443D" w14:paraId="6D97538B" w14:textId="77777777" w:rsidTr="00277198">
        <w:trPr>
          <w:trHeight w:val="350"/>
        </w:trPr>
        <w:tc>
          <w:tcPr>
            <w:tcW w:w="1343" w:type="pct"/>
            <w:vAlign w:val="center"/>
          </w:tcPr>
          <w:p w14:paraId="3437F994" w14:textId="77777777" w:rsidR="00EF104C" w:rsidRPr="0085443D" w:rsidRDefault="00EF104C" w:rsidP="0027728A">
            <w:pPr>
              <w:rPr>
                <w:b/>
                <w:lang w:val="hr-BA"/>
              </w:rPr>
            </w:pPr>
            <w:r w:rsidRPr="0085443D">
              <w:rPr>
                <w:b/>
                <w:lang w:val="hr-BA"/>
              </w:rPr>
              <w:t>UKUPNO (u KM)</w:t>
            </w:r>
          </w:p>
        </w:tc>
        <w:tc>
          <w:tcPr>
            <w:tcW w:w="766" w:type="pct"/>
            <w:vAlign w:val="center"/>
          </w:tcPr>
          <w:p w14:paraId="626E709D" w14:textId="77777777" w:rsidR="00EF104C" w:rsidRPr="0085443D" w:rsidRDefault="00EF104C" w:rsidP="0027728A">
            <w:pPr>
              <w:jc w:val="right"/>
            </w:pPr>
            <w:r w:rsidRPr="0085443D">
              <w:t>2.000.000</w:t>
            </w:r>
          </w:p>
        </w:tc>
        <w:tc>
          <w:tcPr>
            <w:tcW w:w="766" w:type="pct"/>
            <w:vAlign w:val="center"/>
          </w:tcPr>
          <w:p w14:paraId="41E32CAC" w14:textId="77777777" w:rsidR="00EF104C" w:rsidRPr="0085443D" w:rsidRDefault="00EF104C" w:rsidP="0027728A">
            <w:pPr>
              <w:jc w:val="right"/>
            </w:pPr>
            <w:r w:rsidRPr="0085443D">
              <w:t>2.000.000</w:t>
            </w:r>
          </w:p>
        </w:tc>
        <w:tc>
          <w:tcPr>
            <w:tcW w:w="766" w:type="pct"/>
            <w:vAlign w:val="center"/>
          </w:tcPr>
          <w:p w14:paraId="4335A311" w14:textId="77777777" w:rsidR="00EF104C" w:rsidRPr="0085443D" w:rsidRDefault="00EF104C" w:rsidP="0027728A">
            <w:pPr>
              <w:jc w:val="right"/>
            </w:pPr>
            <w:r w:rsidRPr="0085443D">
              <w:t>2.000.000</w:t>
            </w:r>
          </w:p>
        </w:tc>
        <w:tc>
          <w:tcPr>
            <w:tcW w:w="767" w:type="pct"/>
            <w:vAlign w:val="center"/>
          </w:tcPr>
          <w:p w14:paraId="7BBDA22E" w14:textId="77777777" w:rsidR="00EF104C" w:rsidRPr="0085443D" w:rsidRDefault="00EF104C" w:rsidP="0027728A">
            <w:pPr>
              <w:jc w:val="right"/>
            </w:pPr>
            <w:r w:rsidRPr="0085443D">
              <w:t>2.000.000</w:t>
            </w:r>
          </w:p>
        </w:tc>
        <w:tc>
          <w:tcPr>
            <w:tcW w:w="593" w:type="pct"/>
            <w:vAlign w:val="center"/>
          </w:tcPr>
          <w:p w14:paraId="3503CB34" w14:textId="77777777" w:rsidR="00EF104C" w:rsidRPr="0085443D" w:rsidRDefault="00EF104C" w:rsidP="0027728A">
            <w:pPr>
              <w:jc w:val="right"/>
            </w:pPr>
            <w:r w:rsidRPr="0085443D">
              <w:t>8.000.000</w:t>
            </w:r>
          </w:p>
        </w:tc>
      </w:tr>
    </w:tbl>
    <w:p w14:paraId="2A6E9177" w14:textId="77777777" w:rsidR="00EF104C" w:rsidRPr="0085443D" w:rsidRDefault="00EF104C" w:rsidP="00277198">
      <w:pPr>
        <w:jc w:val="both"/>
        <w:rPr>
          <w:szCs w:val="24"/>
        </w:rPr>
      </w:pPr>
      <w:r w:rsidRPr="0085443D">
        <w:rPr>
          <w:b/>
          <w:szCs w:val="24"/>
        </w:rPr>
        <w:t>Prijedlog okvirne raspodjele finansiranja po sektorima razvoja</w:t>
      </w:r>
      <w:r w:rsidRPr="0085443D">
        <w:rPr>
          <w:szCs w:val="24"/>
        </w:rPr>
        <w:t xml:space="preserve"> (stvarna raspodjela će utvrditi tokom revidiranja strategije)</w:t>
      </w:r>
    </w:p>
    <w:tbl>
      <w:tblPr>
        <w:tblStyle w:val="TableGrid"/>
        <w:tblW w:w="5000" w:type="pct"/>
        <w:tblLook w:val="04A0" w:firstRow="1" w:lastRow="0" w:firstColumn="1" w:lastColumn="0" w:noHBand="0" w:noVBand="1"/>
      </w:tblPr>
      <w:tblGrid>
        <w:gridCol w:w="2482"/>
        <w:gridCol w:w="2357"/>
        <w:gridCol w:w="2355"/>
        <w:gridCol w:w="2156"/>
      </w:tblGrid>
      <w:tr w:rsidR="00EF104C" w:rsidRPr="0085443D" w14:paraId="097B1910" w14:textId="77777777" w:rsidTr="00277198">
        <w:tc>
          <w:tcPr>
            <w:tcW w:w="1327" w:type="pct"/>
          </w:tcPr>
          <w:p w14:paraId="6ECF5A32" w14:textId="77777777" w:rsidR="00EF104C" w:rsidRPr="0085443D" w:rsidRDefault="00EF104C" w:rsidP="0027728A">
            <w:pPr>
              <w:spacing w:before="60" w:after="60"/>
              <w:jc w:val="center"/>
              <w:rPr>
                <w:b/>
                <w:sz w:val="24"/>
                <w:lang w:val="hr-BA"/>
              </w:rPr>
            </w:pPr>
            <w:r w:rsidRPr="0085443D">
              <w:rPr>
                <w:b/>
                <w:sz w:val="24"/>
                <w:lang w:val="hr-BA"/>
              </w:rPr>
              <w:lastRenderedPageBreak/>
              <w:t>Ekonomski sektor</w:t>
            </w:r>
          </w:p>
        </w:tc>
        <w:tc>
          <w:tcPr>
            <w:tcW w:w="1260" w:type="pct"/>
          </w:tcPr>
          <w:p w14:paraId="23C41372" w14:textId="77777777" w:rsidR="00EF104C" w:rsidRPr="0085443D" w:rsidRDefault="00EF104C" w:rsidP="0027728A">
            <w:pPr>
              <w:spacing w:before="60" w:after="60"/>
              <w:jc w:val="center"/>
              <w:rPr>
                <w:b/>
                <w:sz w:val="24"/>
                <w:lang w:val="hr-BA"/>
              </w:rPr>
            </w:pPr>
            <w:r w:rsidRPr="0085443D">
              <w:rPr>
                <w:b/>
                <w:sz w:val="24"/>
                <w:lang w:val="hr-BA"/>
              </w:rPr>
              <w:t>Društveni sektor</w:t>
            </w:r>
          </w:p>
        </w:tc>
        <w:tc>
          <w:tcPr>
            <w:tcW w:w="1259" w:type="pct"/>
          </w:tcPr>
          <w:p w14:paraId="342AC9D1" w14:textId="77777777" w:rsidR="00EF104C" w:rsidRPr="0085443D" w:rsidRDefault="00EF104C" w:rsidP="0027728A">
            <w:pPr>
              <w:spacing w:before="60" w:after="60"/>
              <w:jc w:val="center"/>
              <w:rPr>
                <w:b/>
                <w:sz w:val="24"/>
                <w:lang w:val="hr-BA"/>
              </w:rPr>
            </w:pPr>
            <w:r w:rsidRPr="0085443D">
              <w:rPr>
                <w:b/>
                <w:sz w:val="24"/>
                <w:lang w:val="hr-BA"/>
              </w:rPr>
              <w:t>Sektor zaštite životne sredine</w:t>
            </w:r>
          </w:p>
        </w:tc>
        <w:tc>
          <w:tcPr>
            <w:tcW w:w="1153" w:type="pct"/>
          </w:tcPr>
          <w:p w14:paraId="688D22C0" w14:textId="77777777" w:rsidR="00EF104C" w:rsidRPr="0085443D" w:rsidRDefault="00EF104C" w:rsidP="0027728A">
            <w:pPr>
              <w:spacing w:before="60" w:after="60"/>
              <w:jc w:val="center"/>
              <w:rPr>
                <w:b/>
                <w:sz w:val="24"/>
                <w:lang w:val="hr-BA"/>
              </w:rPr>
            </w:pPr>
            <w:r w:rsidRPr="0085443D">
              <w:rPr>
                <w:b/>
                <w:sz w:val="24"/>
                <w:lang w:val="hr-BA"/>
              </w:rPr>
              <w:t>Ukupno</w:t>
            </w:r>
          </w:p>
        </w:tc>
      </w:tr>
      <w:tr w:rsidR="00EF104C" w:rsidRPr="0085443D" w14:paraId="36E7AE81" w14:textId="77777777" w:rsidTr="00277198">
        <w:tc>
          <w:tcPr>
            <w:tcW w:w="1327" w:type="pct"/>
          </w:tcPr>
          <w:p w14:paraId="527D3136" w14:textId="77777777" w:rsidR="00EF104C" w:rsidRPr="0085443D" w:rsidRDefault="00EF104C" w:rsidP="0027728A">
            <w:pPr>
              <w:spacing w:before="60" w:after="60"/>
              <w:jc w:val="center"/>
              <w:rPr>
                <w:sz w:val="24"/>
                <w:lang w:val="hr-BA"/>
              </w:rPr>
            </w:pPr>
            <w:r w:rsidRPr="0085443D">
              <w:rPr>
                <w:sz w:val="24"/>
                <w:lang w:val="hr-BA"/>
              </w:rPr>
              <w:t>3.500.000,00 KM</w:t>
            </w:r>
          </w:p>
        </w:tc>
        <w:tc>
          <w:tcPr>
            <w:tcW w:w="1260" w:type="pct"/>
          </w:tcPr>
          <w:p w14:paraId="27D5B983" w14:textId="77777777" w:rsidR="00EF104C" w:rsidRPr="0085443D" w:rsidRDefault="00EF104C" w:rsidP="0027728A">
            <w:pPr>
              <w:spacing w:before="60" w:after="60"/>
              <w:jc w:val="center"/>
              <w:rPr>
                <w:sz w:val="24"/>
                <w:lang w:val="hr-BA"/>
              </w:rPr>
            </w:pPr>
            <w:r w:rsidRPr="0085443D">
              <w:rPr>
                <w:sz w:val="24"/>
                <w:lang w:val="hr-BA"/>
              </w:rPr>
              <w:t>3.500.000,00 KM</w:t>
            </w:r>
          </w:p>
        </w:tc>
        <w:tc>
          <w:tcPr>
            <w:tcW w:w="1259" w:type="pct"/>
          </w:tcPr>
          <w:p w14:paraId="4D3AA8B6" w14:textId="77777777" w:rsidR="00EF104C" w:rsidRPr="0085443D" w:rsidRDefault="00EF104C" w:rsidP="0027728A">
            <w:pPr>
              <w:spacing w:before="60" w:after="60"/>
              <w:jc w:val="center"/>
              <w:rPr>
                <w:sz w:val="24"/>
                <w:lang w:val="hr-BA"/>
              </w:rPr>
            </w:pPr>
            <w:r w:rsidRPr="0085443D">
              <w:rPr>
                <w:sz w:val="24"/>
                <w:lang w:val="hr-BA"/>
              </w:rPr>
              <w:t>1.000.000,00 KM</w:t>
            </w:r>
          </w:p>
        </w:tc>
        <w:tc>
          <w:tcPr>
            <w:tcW w:w="1153" w:type="pct"/>
          </w:tcPr>
          <w:p w14:paraId="5E672AF4" w14:textId="77777777" w:rsidR="00EF104C" w:rsidRPr="0085443D" w:rsidRDefault="00EF104C" w:rsidP="0027728A">
            <w:pPr>
              <w:spacing w:before="60" w:after="60"/>
              <w:jc w:val="center"/>
              <w:rPr>
                <w:sz w:val="24"/>
                <w:lang w:val="hr-BA"/>
              </w:rPr>
            </w:pPr>
            <w:r w:rsidRPr="0085443D">
              <w:rPr>
                <w:sz w:val="24"/>
                <w:lang w:val="hr-BA"/>
              </w:rPr>
              <w:t>8.000.000 KM</w:t>
            </w:r>
          </w:p>
        </w:tc>
      </w:tr>
    </w:tbl>
    <w:p w14:paraId="711E58DC" w14:textId="77777777" w:rsidR="00EF104C" w:rsidRPr="0085443D" w:rsidRDefault="00EF104C" w:rsidP="00EF104C">
      <w:pPr>
        <w:spacing w:before="200" w:after="60"/>
        <w:ind w:left="5040" w:hanging="5040"/>
        <w:rPr>
          <w:b/>
          <w:sz w:val="24"/>
          <w:lang w:val="hr-BA"/>
        </w:rPr>
      </w:pPr>
      <w:r w:rsidRPr="0085443D">
        <w:rPr>
          <w:b/>
          <w:sz w:val="24"/>
          <w:lang w:val="hr-BA"/>
        </w:rPr>
        <w:t>Napomene/obrazloženja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6683"/>
      </w:tblGrid>
      <w:tr w:rsidR="00EF104C" w:rsidRPr="0085443D" w14:paraId="6DE40559" w14:textId="77777777" w:rsidTr="00277198">
        <w:trPr>
          <w:trHeight w:val="539"/>
        </w:trPr>
        <w:tc>
          <w:tcPr>
            <w:tcW w:w="1426" w:type="pct"/>
            <w:vAlign w:val="center"/>
          </w:tcPr>
          <w:p w14:paraId="3443F37F" w14:textId="77777777" w:rsidR="00EF104C" w:rsidRPr="0085443D" w:rsidRDefault="00EF104C" w:rsidP="0027728A">
            <w:pPr>
              <w:spacing w:before="60" w:after="60"/>
              <w:rPr>
                <w:lang w:val="hr-BA"/>
              </w:rPr>
            </w:pPr>
            <w:r w:rsidRPr="0085443D">
              <w:rPr>
                <w:lang w:val="hr-BA"/>
              </w:rPr>
              <w:t>Eksterni izvori (</w:t>
            </w:r>
            <w:r w:rsidRPr="0085443D">
              <w:rPr>
                <w:i/>
                <w:lang w:val="hr-BA"/>
              </w:rPr>
              <w:t>krediti, entiteti, kantoni, država, javna preduzeća i privatni izvori</w:t>
            </w:r>
            <w:r w:rsidRPr="0085443D">
              <w:rPr>
                <w:lang w:val="hr-BA"/>
              </w:rPr>
              <w:t>, donatori, sl.)</w:t>
            </w:r>
          </w:p>
        </w:tc>
        <w:tc>
          <w:tcPr>
            <w:tcW w:w="3574" w:type="pct"/>
          </w:tcPr>
          <w:p w14:paraId="2DE1277B" w14:textId="77777777" w:rsidR="00EF104C" w:rsidRPr="0085443D" w:rsidRDefault="00EF104C" w:rsidP="0027728A">
            <w:r w:rsidRPr="0085443D">
              <w:t>Tokom 2016. godine upućene su projektne aplikacije republičkim i ministarstvima na nivou BiH po nekoliko osnova,</w:t>
            </w:r>
            <w:r w:rsidR="00FD4CD3" w:rsidRPr="0085443D">
              <w:t xml:space="preserve"> </w:t>
            </w:r>
            <w:r w:rsidRPr="0085443D">
              <w:t xml:space="preserve">pa je moguće da se tokom 2017. godine po tom osnovu ostvari priliv od oko 100.000,00 KM. </w:t>
            </w:r>
          </w:p>
          <w:p w14:paraId="31B45314" w14:textId="77777777" w:rsidR="00EF104C" w:rsidRPr="0085443D" w:rsidRDefault="00EF104C" w:rsidP="0027728A">
            <w:pPr>
              <w:rPr>
                <w:color w:val="FF0000"/>
                <w:lang w:val="hr-BA"/>
              </w:rPr>
            </w:pPr>
          </w:p>
        </w:tc>
      </w:tr>
    </w:tbl>
    <w:p w14:paraId="5FAE146D" w14:textId="77777777" w:rsidR="00EF104C" w:rsidRPr="0085443D" w:rsidRDefault="00EF104C" w:rsidP="00EF104C">
      <w:pPr>
        <w:spacing w:before="60"/>
        <w:jc w:val="both"/>
        <w:rPr>
          <w:i/>
          <w:sz w:val="20"/>
          <w:lang w:val="hr-BA"/>
        </w:rPr>
      </w:pPr>
      <w:r w:rsidRPr="0085443D">
        <w:rPr>
          <w:i/>
          <w:sz w:val="20"/>
          <w:lang w:val="bs-Latn-BA"/>
        </w:rPr>
        <w:t xml:space="preserve">Napomene se unose u slučajevima </w:t>
      </w:r>
      <w:r w:rsidRPr="0085443D">
        <w:rPr>
          <w:i/>
          <w:sz w:val="20"/>
          <w:lang w:val="hr-BA"/>
        </w:rPr>
        <w:t>značajnijih odstupanja „očekivanih“ izvora finansiranja u pojednim godinama u odnosu na trend ostvarenih izvora finansiranja u protklom periodu implementacije.</w:t>
      </w:r>
    </w:p>
    <w:p w14:paraId="5CD54252" w14:textId="77777777" w:rsidR="00EF104C" w:rsidRPr="0085443D" w:rsidRDefault="00277198" w:rsidP="00277198">
      <w:pPr>
        <w:jc w:val="both"/>
        <w:rPr>
          <w:szCs w:val="24"/>
        </w:rPr>
      </w:pPr>
      <w:r w:rsidRPr="0085443D">
        <w:rPr>
          <w:szCs w:val="24"/>
        </w:rPr>
        <w:t>U</w:t>
      </w:r>
      <w:r w:rsidR="00EF104C" w:rsidRPr="0085443D">
        <w:rPr>
          <w:szCs w:val="24"/>
        </w:rPr>
        <w:t>češće poreskih i neporeskih prihoda u ukupnom budžetu opštine Prnjavor za 2017. godinu je 91,65%,</w:t>
      </w:r>
      <w:r w:rsidRPr="0085443D">
        <w:rPr>
          <w:szCs w:val="24"/>
        </w:rPr>
        <w:t xml:space="preserve"> </w:t>
      </w:r>
      <w:r w:rsidR="00EF104C" w:rsidRPr="0085443D">
        <w:rPr>
          <w:szCs w:val="24"/>
        </w:rPr>
        <w:t>od ukupnog budžeta opštine Prnjavor za 2017. godinu (13.787.500,00 KM), na kapitalne troškove odnosi se 1.312.200,00 KM ili 9,52%, dok se na ostale troškove (lična primanja, troškovi materijala i usluga, subvencije, grantovi, socijala, otplata dugova i dr.) odnosi 12.475.300,00 KM.</w:t>
      </w:r>
    </w:p>
    <w:p w14:paraId="7C5E2591" w14:textId="77777777" w:rsidR="00EF104C" w:rsidRPr="0085443D" w:rsidRDefault="00EF104C" w:rsidP="00EF104C">
      <w:pPr>
        <w:jc w:val="both"/>
        <w:rPr>
          <w:i/>
          <w:szCs w:val="24"/>
        </w:rPr>
      </w:pPr>
      <w:r w:rsidRPr="0085443D">
        <w:rPr>
          <w:i/>
          <w:szCs w:val="24"/>
        </w:rPr>
        <w:t xml:space="preserve">Izvor: Odjeljenje za finansije, Opština Prnjavor, februar 2017. </w:t>
      </w:r>
    </w:p>
    <w:p w14:paraId="624F7340" w14:textId="1841297B" w:rsidR="003B497A" w:rsidRDefault="003B497A" w:rsidP="003B497A">
      <w:pPr>
        <w:ind w:left="720" w:hanging="720"/>
        <w:rPr>
          <w:rFonts w:ascii="Myriad Pro" w:hAnsi="Myriad Pro"/>
          <w:bCs/>
          <w:sz w:val="24"/>
          <w:szCs w:val="24"/>
          <w:lang w:val="bs-Latn-BA"/>
        </w:rPr>
      </w:pPr>
    </w:p>
    <w:p w14:paraId="16E1176C" w14:textId="77777777" w:rsidR="00312329" w:rsidRPr="0085443D" w:rsidRDefault="00312329" w:rsidP="003B497A">
      <w:pPr>
        <w:ind w:left="720" w:hanging="720"/>
        <w:rPr>
          <w:rFonts w:ascii="Myriad Pro" w:hAnsi="Myriad Pro"/>
          <w:bCs/>
          <w:sz w:val="24"/>
          <w:szCs w:val="24"/>
          <w:lang w:val="bs-Latn-BA"/>
        </w:rPr>
      </w:pPr>
    </w:p>
    <w:p w14:paraId="1D055324" w14:textId="77777777" w:rsidR="003B497A" w:rsidRPr="0085443D" w:rsidRDefault="003B497A" w:rsidP="005F4B92">
      <w:pPr>
        <w:pStyle w:val="Heading2"/>
      </w:pPr>
      <w:bookmarkStart w:id="8" w:name="_Toc462761757"/>
      <w:bookmarkStart w:id="9" w:name="_Toc496413374"/>
      <w:r w:rsidRPr="0085443D">
        <w:t>IV.2.</w:t>
      </w:r>
      <w:r w:rsidRPr="0085443D">
        <w:tab/>
        <w:t>Strateško fokusiranje</w:t>
      </w:r>
      <w:bookmarkEnd w:id="8"/>
      <w:bookmarkEnd w:id="9"/>
    </w:p>
    <w:p w14:paraId="46CAE476" w14:textId="77777777" w:rsidR="003B497A" w:rsidRPr="0085443D" w:rsidRDefault="003B497A" w:rsidP="003B497A">
      <w:pPr>
        <w:spacing w:after="80"/>
        <w:rPr>
          <w:b/>
        </w:rPr>
      </w:pPr>
      <w:r w:rsidRPr="0085443D">
        <w:rPr>
          <w:b/>
        </w:rPr>
        <w:t>SWOT analiza Op</w:t>
      </w:r>
      <w:r w:rsidR="00350A1B" w:rsidRPr="0085443D">
        <w:rPr>
          <w:b/>
        </w:rPr>
        <w:t>šti</w:t>
      </w:r>
      <w:r w:rsidRPr="0085443D">
        <w:rPr>
          <w:b/>
        </w:rPr>
        <w:t xml:space="preserve">ne </w:t>
      </w:r>
      <w:r w:rsidR="00350A1B" w:rsidRPr="0085443D">
        <w:rPr>
          <w:b/>
        </w:rPr>
        <w:t>Prnjavor</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86"/>
        <w:gridCol w:w="4358"/>
      </w:tblGrid>
      <w:tr w:rsidR="00482E2F" w:rsidRPr="0085443D" w14:paraId="7BC4F373" w14:textId="77777777" w:rsidTr="00797BD6">
        <w:tc>
          <w:tcPr>
            <w:tcW w:w="2668" w:type="pct"/>
            <w:shd w:val="clear" w:color="auto" w:fill="9CC2E5" w:themeFill="accent1" w:themeFillTint="99"/>
            <w:vAlign w:val="center"/>
          </w:tcPr>
          <w:p w14:paraId="70AB6565" w14:textId="77777777" w:rsidR="00482E2F" w:rsidRPr="0085443D" w:rsidRDefault="001C1AB9" w:rsidP="00797BD6">
            <w:pPr>
              <w:jc w:val="center"/>
              <w:rPr>
                <w:b/>
              </w:rPr>
            </w:pPr>
            <w:r w:rsidRPr="0085443D">
              <w:rPr>
                <w:b/>
              </w:rPr>
              <w:t>SNAGE</w:t>
            </w:r>
          </w:p>
        </w:tc>
        <w:tc>
          <w:tcPr>
            <w:tcW w:w="2332" w:type="pct"/>
            <w:shd w:val="clear" w:color="auto" w:fill="9CC2E5" w:themeFill="accent1" w:themeFillTint="99"/>
            <w:vAlign w:val="center"/>
          </w:tcPr>
          <w:p w14:paraId="7A5DCE6C" w14:textId="77777777" w:rsidR="00482E2F" w:rsidRPr="0085443D" w:rsidRDefault="001C1AB9" w:rsidP="00797BD6">
            <w:pPr>
              <w:jc w:val="center"/>
              <w:rPr>
                <w:b/>
                <w:bCs/>
              </w:rPr>
            </w:pPr>
            <w:r w:rsidRPr="0085443D">
              <w:rPr>
                <w:b/>
                <w:bCs/>
              </w:rPr>
              <w:t>SLABOSTI</w:t>
            </w:r>
          </w:p>
        </w:tc>
      </w:tr>
      <w:tr w:rsidR="00482E2F" w:rsidRPr="0085443D" w14:paraId="7E43B422" w14:textId="77777777" w:rsidTr="00797BD6">
        <w:tc>
          <w:tcPr>
            <w:tcW w:w="2668" w:type="pct"/>
            <w:shd w:val="clear" w:color="auto" w:fill="auto"/>
            <w:vAlign w:val="center"/>
          </w:tcPr>
          <w:p w14:paraId="4DBC8A79" w14:textId="77777777" w:rsidR="003F4DEC" w:rsidRPr="0085443D" w:rsidRDefault="003F4DEC" w:rsidP="009901CE">
            <w:pPr>
              <w:numPr>
                <w:ilvl w:val="0"/>
                <w:numId w:val="13"/>
              </w:numPr>
              <w:jc w:val="both"/>
              <w:rPr>
                <w:lang w:val="en-US"/>
              </w:rPr>
            </w:pPr>
            <w:r w:rsidRPr="0085443D">
              <w:rPr>
                <w:lang w:val="sr-Cyrl-BA"/>
              </w:rPr>
              <w:t>Dobra lokalna, regionalna, magistralna putna i željeznička povezanost, blizina većih ekonomskih i administrativnih centara (magistralni put M 16.1 Klašnice-Derventa</w:t>
            </w:r>
            <w:r w:rsidRPr="0085443D">
              <w:rPr>
                <w:lang w:val="en-US"/>
              </w:rPr>
              <w:t>, auto-put Banja Luka – Doboj)</w:t>
            </w:r>
          </w:p>
          <w:p w14:paraId="55191BFF" w14:textId="77777777" w:rsidR="003F4DEC" w:rsidRPr="0085443D" w:rsidRDefault="003F4DEC" w:rsidP="009901CE">
            <w:pPr>
              <w:numPr>
                <w:ilvl w:val="0"/>
                <w:numId w:val="13"/>
              </w:numPr>
              <w:jc w:val="both"/>
              <w:rPr>
                <w:lang w:val="en-US"/>
              </w:rPr>
            </w:pPr>
            <w:r w:rsidRPr="0085443D">
              <w:rPr>
                <w:lang w:val="sr-Cyrl-BA"/>
              </w:rPr>
              <w:t>Tradicija multikulturalnosti – Mala Evropa (zastupljenost većeg broja različitih nacija iz evropskih zemalja), otvorenost sredine i veze sa matičnim zemljama</w:t>
            </w:r>
          </w:p>
          <w:p w14:paraId="3F53EFE3" w14:textId="77777777" w:rsidR="003F4DEC" w:rsidRPr="0085443D" w:rsidRDefault="003F4DEC" w:rsidP="009901CE">
            <w:pPr>
              <w:numPr>
                <w:ilvl w:val="0"/>
                <w:numId w:val="13"/>
              </w:numPr>
              <w:jc w:val="both"/>
              <w:rPr>
                <w:lang w:val="en-US"/>
              </w:rPr>
            </w:pPr>
            <w:r w:rsidRPr="0085443D">
              <w:rPr>
                <w:lang w:val="sr-Cyrl-BA"/>
              </w:rPr>
              <w:t>Preduzetnički mentalitet, razvijeno preduzetništvo i jak privatni sektor</w:t>
            </w:r>
          </w:p>
          <w:p w14:paraId="1226A0AC" w14:textId="77777777" w:rsidR="003F4DEC" w:rsidRPr="0085443D" w:rsidRDefault="003F4DEC" w:rsidP="009901CE">
            <w:pPr>
              <w:numPr>
                <w:ilvl w:val="0"/>
                <w:numId w:val="13"/>
              </w:numPr>
              <w:jc w:val="both"/>
              <w:rPr>
                <w:lang w:val="en-US"/>
              </w:rPr>
            </w:pPr>
            <w:r w:rsidRPr="0085443D">
              <w:rPr>
                <w:lang w:val="en-US"/>
              </w:rPr>
              <w:t>Me</w:t>
            </w:r>
            <w:r w:rsidRPr="0085443D">
              <w:t>đ</w:t>
            </w:r>
            <w:r w:rsidRPr="0085443D">
              <w:rPr>
                <w:lang w:val="en-US"/>
              </w:rPr>
              <w:t>u v</w:t>
            </w:r>
            <w:r w:rsidRPr="0085443D">
              <w:t>odeći</w:t>
            </w:r>
            <w:r w:rsidRPr="0085443D">
              <w:rPr>
                <w:lang w:val="en-US"/>
              </w:rPr>
              <w:t>m</w:t>
            </w:r>
            <w:r w:rsidRPr="0085443D">
              <w:t xml:space="preserve"> </w:t>
            </w:r>
            <w:r w:rsidR="000549B6" w:rsidRPr="0085443D">
              <w:t xml:space="preserve">u RS </w:t>
            </w:r>
            <w:r w:rsidRPr="0085443D">
              <w:t>p</w:t>
            </w:r>
            <w:r w:rsidRPr="0085443D">
              <w:rPr>
                <w:lang w:val="sr-Cyrl-BA"/>
              </w:rPr>
              <w:t xml:space="preserve">o </w:t>
            </w:r>
            <w:r w:rsidR="000549B6" w:rsidRPr="0085443D">
              <w:t>poljoprivrednoj proizvodnji</w:t>
            </w:r>
            <w:r w:rsidR="000549B6" w:rsidRPr="0085443D">
              <w:rPr>
                <w:lang w:val="sr-Cyrl-BA"/>
              </w:rPr>
              <w:t xml:space="preserve"> </w:t>
            </w:r>
            <w:r w:rsidR="000549B6" w:rsidRPr="0085443D">
              <w:t>(</w:t>
            </w:r>
            <w:r w:rsidRPr="0085443D">
              <w:rPr>
                <w:lang w:val="sr-Cyrl-BA"/>
              </w:rPr>
              <w:t xml:space="preserve">količini otkupljenog mlijeka </w:t>
            </w:r>
            <w:r w:rsidRPr="0085443D">
              <w:t xml:space="preserve">od individualnih proizvođača i </w:t>
            </w:r>
            <w:r w:rsidR="000549B6" w:rsidRPr="0085443D">
              <w:t>živinarskoj proizvodnji)</w:t>
            </w:r>
          </w:p>
          <w:p w14:paraId="6EEEABB7" w14:textId="77777777" w:rsidR="003F4DEC" w:rsidRPr="0085443D" w:rsidRDefault="003F4DEC" w:rsidP="009901CE">
            <w:pPr>
              <w:numPr>
                <w:ilvl w:val="0"/>
                <w:numId w:val="13"/>
              </w:numPr>
              <w:jc w:val="both"/>
              <w:rPr>
                <w:lang w:val="en-US"/>
              </w:rPr>
            </w:pPr>
            <w:r w:rsidRPr="0085443D">
              <w:t>Uređena prostorno-planska dokumentacija</w:t>
            </w:r>
          </w:p>
          <w:p w14:paraId="553E8563" w14:textId="77777777" w:rsidR="009A1EEF" w:rsidRPr="0085443D" w:rsidRDefault="003F4DEC" w:rsidP="009901CE">
            <w:pPr>
              <w:numPr>
                <w:ilvl w:val="0"/>
                <w:numId w:val="13"/>
              </w:numPr>
              <w:jc w:val="both"/>
              <w:rPr>
                <w:lang w:val="en-US"/>
              </w:rPr>
            </w:pPr>
            <w:r w:rsidRPr="0085443D">
              <w:rPr>
                <w:lang w:val="sr-Cyrl-BA"/>
              </w:rPr>
              <w:t xml:space="preserve">Sprovedene </w:t>
            </w:r>
            <w:r w:rsidRPr="0085443D">
              <w:t xml:space="preserve">regulatorne </w:t>
            </w:r>
            <w:r w:rsidRPr="0085443D">
              <w:rPr>
                <w:lang w:val="sr-Cyrl-BA"/>
              </w:rPr>
              <w:t xml:space="preserve">reforme u lokalnoj zajednici </w:t>
            </w:r>
            <w:r w:rsidRPr="0085443D">
              <w:t>-</w:t>
            </w:r>
            <w:r w:rsidRPr="0085443D">
              <w:rPr>
                <w:lang w:val="sr-Cyrl-BA"/>
              </w:rPr>
              <w:t xml:space="preserve"> relativno jednostavne </w:t>
            </w:r>
            <w:r w:rsidRPr="0085443D">
              <w:t xml:space="preserve">i povoljne </w:t>
            </w:r>
            <w:r w:rsidRPr="0085443D">
              <w:rPr>
                <w:lang w:val="sr-Cyrl-BA"/>
              </w:rPr>
              <w:t>procedure za registraciju i poslovanje preduzeća (Bikon šema</w:t>
            </w:r>
            <w:r w:rsidRPr="0085443D">
              <w:t xml:space="preserve">, </w:t>
            </w:r>
            <w:r w:rsidRPr="0085443D">
              <w:rPr>
                <w:lang w:val="sr-Cyrl-BA"/>
              </w:rPr>
              <w:t>ISO Standard</w:t>
            </w:r>
            <w:r w:rsidRPr="0085443D">
              <w:t>, regulatorna reforma 2015. godine</w:t>
            </w:r>
            <w:r w:rsidRPr="0085443D">
              <w:rPr>
                <w:lang w:val="sr-Cyrl-BA"/>
              </w:rPr>
              <w:t>)</w:t>
            </w:r>
            <w:r w:rsidR="009A1EEF" w:rsidRPr="0085443D">
              <w:t xml:space="preserve"> </w:t>
            </w:r>
          </w:p>
          <w:p w14:paraId="5A90152F" w14:textId="77777777" w:rsidR="003F4DEC" w:rsidRPr="0085443D" w:rsidRDefault="003F4DEC" w:rsidP="009901CE">
            <w:pPr>
              <w:numPr>
                <w:ilvl w:val="0"/>
                <w:numId w:val="13"/>
              </w:numPr>
              <w:jc w:val="both"/>
              <w:rPr>
                <w:lang w:val="en-US"/>
              </w:rPr>
            </w:pPr>
            <w:r w:rsidRPr="0085443D">
              <w:rPr>
                <w:lang w:val="sr-Cyrl-BA"/>
              </w:rPr>
              <w:t xml:space="preserve">Veliki broj </w:t>
            </w:r>
            <w:r w:rsidRPr="0085443D">
              <w:rPr>
                <w:lang w:val="sr-Cyrl-CS"/>
              </w:rPr>
              <w:t xml:space="preserve">lica sa područja opštine </w:t>
            </w:r>
            <w:r w:rsidRPr="0085443D">
              <w:rPr>
                <w:lang w:val="sr-Cyrl-BA"/>
              </w:rPr>
              <w:t>zaposlenih u inostranstvu</w:t>
            </w:r>
          </w:p>
          <w:p w14:paraId="64898D54" w14:textId="77777777" w:rsidR="003F4DEC" w:rsidRPr="0085443D" w:rsidRDefault="003F4DEC" w:rsidP="009901CE">
            <w:pPr>
              <w:numPr>
                <w:ilvl w:val="0"/>
                <w:numId w:val="13"/>
              </w:numPr>
              <w:jc w:val="both"/>
              <w:rPr>
                <w:lang w:val="en-US"/>
              </w:rPr>
            </w:pPr>
            <w:r w:rsidRPr="0085443D">
              <w:rPr>
                <w:lang w:val="sr-Cyrl-BA"/>
              </w:rPr>
              <w:t>Kapaciteti za proizvodnju stočne hrane, stoke i ribe</w:t>
            </w:r>
          </w:p>
          <w:p w14:paraId="0BFFC6E1" w14:textId="77777777" w:rsidR="003F4DEC" w:rsidRPr="0085443D" w:rsidRDefault="003F4DEC" w:rsidP="009901CE">
            <w:pPr>
              <w:numPr>
                <w:ilvl w:val="0"/>
                <w:numId w:val="13"/>
              </w:numPr>
              <w:jc w:val="both"/>
              <w:rPr>
                <w:lang w:val="en-US"/>
              </w:rPr>
            </w:pPr>
            <w:r w:rsidRPr="0085443D">
              <w:rPr>
                <w:lang w:val="sr-Cyrl-BA"/>
              </w:rPr>
              <w:lastRenderedPageBreak/>
              <w:t>Kapaciteti u finalnoj proizvodnji hrane (prehrambena industrija</w:t>
            </w:r>
            <w:r w:rsidRPr="0085443D">
              <w:t>, individualni proizvođači</w:t>
            </w:r>
            <w:r w:rsidRPr="0085443D">
              <w:rPr>
                <w:lang w:val="sr-Cyrl-BA"/>
              </w:rPr>
              <w:t>)</w:t>
            </w:r>
          </w:p>
          <w:p w14:paraId="6E7D66C6" w14:textId="77777777" w:rsidR="003F4DEC" w:rsidRPr="0085443D" w:rsidRDefault="003F4DEC" w:rsidP="009901CE">
            <w:pPr>
              <w:numPr>
                <w:ilvl w:val="0"/>
                <w:numId w:val="13"/>
              </w:numPr>
              <w:jc w:val="both"/>
              <w:rPr>
                <w:lang w:val="en-US"/>
              </w:rPr>
            </w:pPr>
            <w:r w:rsidRPr="0085443D">
              <w:rPr>
                <w:lang w:val="sr-Cyrl-BA"/>
              </w:rPr>
              <w:t>Proizvodnja građevinskih materijala</w:t>
            </w:r>
          </w:p>
          <w:p w14:paraId="5BDCAD3E" w14:textId="77777777" w:rsidR="003F4DEC" w:rsidRPr="0085443D" w:rsidRDefault="003F4DEC" w:rsidP="009901CE">
            <w:pPr>
              <w:numPr>
                <w:ilvl w:val="0"/>
                <w:numId w:val="13"/>
              </w:numPr>
              <w:jc w:val="both"/>
              <w:rPr>
                <w:lang w:val="en-US"/>
              </w:rPr>
            </w:pPr>
            <w:r w:rsidRPr="0085443D">
              <w:rPr>
                <w:lang w:val="sr-Cyrl-BA"/>
              </w:rPr>
              <w:t>Kapaciteti u oblasti metal</w:t>
            </w:r>
            <w:r w:rsidRPr="0085443D">
              <w:rPr>
                <w:lang w:val="en-US"/>
              </w:rPr>
              <w:t>sk</w:t>
            </w:r>
            <w:r w:rsidRPr="0085443D">
              <w:rPr>
                <w:lang w:val="sr-Cyrl-BA"/>
              </w:rPr>
              <w:t>e industrije</w:t>
            </w:r>
          </w:p>
          <w:p w14:paraId="3BEF1258" w14:textId="77777777" w:rsidR="003F4DEC" w:rsidRPr="0085443D" w:rsidRDefault="003F4DEC" w:rsidP="009901CE">
            <w:pPr>
              <w:numPr>
                <w:ilvl w:val="0"/>
                <w:numId w:val="13"/>
              </w:numPr>
              <w:jc w:val="both"/>
              <w:rPr>
                <w:lang w:val="en-US"/>
              </w:rPr>
            </w:pPr>
            <w:r w:rsidRPr="0085443D">
              <w:rPr>
                <w:lang w:val="sr-Cyrl-BA"/>
              </w:rPr>
              <w:t xml:space="preserve">Tradicija </w:t>
            </w:r>
            <w:r w:rsidRPr="0085443D">
              <w:t xml:space="preserve">i kapaciteti </w:t>
            </w:r>
            <w:r w:rsidRPr="0085443D">
              <w:rPr>
                <w:lang w:val="sr-Cyrl-BA"/>
              </w:rPr>
              <w:t>u proizvodnji obuće</w:t>
            </w:r>
          </w:p>
          <w:p w14:paraId="5D9F863F" w14:textId="77777777" w:rsidR="003F4DEC" w:rsidRPr="0085443D" w:rsidRDefault="003F4DEC" w:rsidP="009901CE">
            <w:pPr>
              <w:numPr>
                <w:ilvl w:val="0"/>
                <w:numId w:val="13"/>
              </w:numPr>
              <w:jc w:val="both"/>
              <w:rPr>
                <w:lang w:val="en-US"/>
              </w:rPr>
            </w:pPr>
            <w:r w:rsidRPr="0085443D">
              <w:rPr>
                <w:lang w:val="sr-Cyrl-BA"/>
              </w:rPr>
              <w:t xml:space="preserve">Kapaciteti za proizvodnju </w:t>
            </w:r>
            <w:r w:rsidRPr="0085443D">
              <w:t xml:space="preserve">namještaja </w:t>
            </w:r>
          </w:p>
          <w:p w14:paraId="4BEDF547" w14:textId="77777777" w:rsidR="003F4DEC" w:rsidRPr="0085443D" w:rsidRDefault="003F4DEC" w:rsidP="009901CE">
            <w:pPr>
              <w:numPr>
                <w:ilvl w:val="0"/>
                <w:numId w:val="13"/>
              </w:numPr>
              <w:jc w:val="both"/>
              <w:rPr>
                <w:lang w:val="en-US"/>
              </w:rPr>
            </w:pPr>
            <w:r w:rsidRPr="0085443D">
              <w:rPr>
                <w:lang w:val="sr-Cyrl-BA"/>
              </w:rPr>
              <w:t xml:space="preserve">Postojanje turističkih kapaciteta (Banja Kulaši, </w:t>
            </w:r>
            <w:r w:rsidRPr="0085443D">
              <w:t>vjerski turizam, lovni i ribolovni turizam itd.</w:t>
            </w:r>
            <w:r w:rsidRPr="0085443D">
              <w:rPr>
                <w:lang w:val="sr-Cyrl-BA"/>
              </w:rPr>
              <w:t>)</w:t>
            </w:r>
          </w:p>
          <w:p w14:paraId="02E78F32" w14:textId="02268320" w:rsidR="009A1EEF" w:rsidRPr="0085443D" w:rsidRDefault="003F4DEC" w:rsidP="009901CE">
            <w:pPr>
              <w:numPr>
                <w:ilvl w:val="0"/>
                <w:numId w:val="13"/>
              </w:numPr>
              <w:jc w:val="both"/>
              <w:rPr>
                <w:lang w:val="en-US"/>
              </w:rPr>
            </w:pPr>
            <w:r w:rsidRPr="0085443D">
              <w:rPr>
                <w:lang w:val="sr-Cyrl-BA"/>
              </w:rPr>
              <w:t xml:space="preserve">Dobri preduslovi za razvoj </w:t>
            </w:r>
            <w:r w:rsidR="001E28F0" w:rsidRPr="001E28F0">
              <w:rPr>
                <w:highlight w:val="cyan"/>
              </w:rPr>
              <w:t>planskom dokumentacijom predviđene</w:t>
            </w:r>
            <w:r w:rsidR="001E28F0">
              <w:t xml:space="preserve"> </w:t>
            </w:r>
            <w:r w:rsidRPr="0085443D">
              <w:rPr>
                <w:lang w:val="sr-Cyrl-BA"/>
              </w:rPr>
              <w:t>poslovno-turističke zone</w:t>
            </w:r>
            <w:r w:rsidR="009A1EEF" w:rsidRPr="0085443D">
              <w:t xml:space="preserve"> </w:t>
            </w:r>
          </w:p>
        </w:tc>
        <w:tc>
          <w:tcPr>
            <w:tcW w:w="2332" w:type="pct"/>
            <w:shd w:val="clear" w:color="auto" w:fill="auto"/>
          </w:tcPr>
          <w:p w14:paraId="086D21F2" w14:textId="77777777" w:rsidR="003F4DEC" w:rsidRPr="0085443D" w:rsidRDefault="003F4DEC" w:rsidP="009901CE">
            <w:pPr>
              <w:numPr>
                <w:ilvl w:val="0"/>
                <w:numId w:val="13"/>
              </w:numPr>
              <w:jc w:val="both"/>
              <w:rPr>
                <w:lang w:val="en-US"/>
              </w:rPr>
            </w:pPr>
            <w:r w:rsidRPr="0085443D">
              <w:lastRenderedPageBreak/>
              <w:t>Loše stanje dijela vodovodne mreže i kvalitet vode</w:t>
            </w:r>
          </w:p>
          <w:p w14:paraId="5DBBFDE8" w14:textId="77777777" w:rsidR="003F4DEC" w:rsidRPr="0085443D" w:rsidRDefault="003F4DEC" w:rsidP="009901CE">
            <w:pPr>
              <w:numPr>
                <w:ilvl w:val="0"/>
                <w:numId w:val="13"/>
              </w:numPr>
              <w:jc w:val="both"/>
              <w:rPr>
                <w:lang w:val="en-US"/>
              </w:rPr>
            </w:pPr>
            <w:r w:rsidRPr="0085443D">
              <w:t>Još uvijek prisutna potreba za proširenjem kanalizacione mreže i nedostatak prečistača</w:t>
            </w:r>
          </w:p>
          <w:p w14:paraId="10089893" w14:textId="77777777" w:rsidR="003F4DEC" w:rsidRPr="0085443D" w:rsidRDefault="003F4DEC" w:rsidP="009901CE">
            <w:pPr>
              <w:numPr>
                <w:ilvl w:val="0"/>
                <w:numId w:val="13"/>
              </w:numPr>
              <w:jc w:val="both"/>
              <w:rPr>
                <w:lang w:val="en-US"/>
              </w:rPr>
            </w:pPr>
            <w:r w:rsidRPr="0085443D">
              <w:t>Loše stanje elektro-distributivne mreže</w:t>
            </w:r>
          </w:p>
          <w:p w14:paraId="34D1E7CA" w14:textId="77777777" w:rsidR="003F4DEC" w:rsidRPr="0085443D" w:rsidRDefault="003F4DEC" w:rsidP="009901CE">
            <w:pPr>
              <w:numPr>
                <w:ilvl w:val="0"/>
                <w:numId w:val="13"/>
              </w:numPr>
              <w:jc w:val="both"/>
              <w:rPr>
                <w:lang w:val="en-US"/>
              </w:rPr>
            </w:pPr>
            <w:r w:rsidRPr="0085443D">
              <w:t>Nezadovoljavajuće stanje lokalne putne mreže</w:t>
            </w:r>
          </w:p>
          <w:p w14:paraId="73B6068C" w14:textId="77777777" w:rsidR="003F4DEC" w:rsidRPr="0085443D" w:rsidRDefault="003F4DEC" w:rsidP="009901CE">
            <w:pPr>
              <w:numPr>
                <w:ilvl w:val="0"/>
                <w:numId w:val="13"/>
              </w:numPr>
              <w:jc w:val="both"/>
              <w:rPr>
                <w:lang w:val="en-US"/>
              </w:rPr>
            </w:pPr>
            <w:r w:rsidRPr="0085443D">
              <w:t>Zastarjela poljoprivredna mehanizacija, usitnjenost posjeda i nedostatak funkcionalnih kooperativa/zadruga (otkupljivački kapaciteti)</w:t>
            </w:r>
          </w:p>
          <w:p w14:paraId="292624B8" w14:textId="77777777" w:rsidR="003F4DEC" w:rsidRPr="0085443D" w:rsidRDefault="003F4DEC" w:rsidP="009901CE">
            <w:pPr>
              <w:numPr>
                <w:ilvl w:val="0"/>
                <w:numId w:val="13"/>
              </w:numPr>
              <w:jc w:val="both"/>
              <w:rPr>
                <w:lang w:val="en-US"/>
              </w:rPr>
            </w:pPr>
            <w:r w:rsidRPr="0085443D">
              <w:rPr>
                <w:lang w:val="sr-Cyrl-BA"/>
              </w:rPr>
              <w:t>Izraženi depopulacioni procesi na području opštine (negativna stopa nataliteta - posebno u ruralnim krajevima)</w:t>
            </w:r>
            <w:r w:rsidRPr="0085443D">
              <w:rPr>
                <w:lang w:val="sr-Cyrl-CS"/>
              </w:rPr>
              <w:t xml:space="preserve">, </w:t>
            </w:r>
            <w:r w:rsidRPr="0085443D">
              <w:rPr>
                <w:lang w:val="sr-Cyrl-BA"/>
              </w:rPr>
              <w:t>migratorna kretanja i starenje stanovništva</w:t>
            </w:r>
          </w:p>
          <w:p w14:paraId="375B6410" w14:textId="77777777" w:rsidR="003F4DEC" w:rsidRPr="0085443D" w:rsidRDefault="003F4DEC" w:rsidP="009901CE">
            <w:pPr>
              <w:numPr>
                <w:ilvl w:val="0"/>
                <w:numId w:val="13"/>
              </w:numPr>
              <w:jc w:val="both"/>
              <w:rPr>
                <w:lang w:val="en-US"/>
              </w:rPr>
            </w:pPr>
            <w:r w:rsidRPr="0085443D">
              <w:t>Nedostatak podataka i nedovoljna komunikacij</w:t>
            </w:r>
            <w:r w:rsidR="008F63E2" w:rsidRPr="0085443D">
              <w:t>a</w:t>
            </w:r>
            <w:r w:rsidRPr="0085443D">
              <w:t xml:space="preserve"> sa dijasporom</w:t>
            </w:r>
          </w:p>
          <w:p w14:paraId="481A7CA6" w14:textId="77777777" w:rsidR="003F4DEC" w:rsidRPr="0085443D" w:rsidRDefault="003F4DEC" w:rsidP="009901CE">
            <w:pPr>
              <w:numPr>
                <w:ilvl w:val="0"/>
                <w:numId w:val="13"/>
              </w:numPr>
              <w:jc w:val="both"/>
              <w:rPr>
                <w:lang w:val="en-US"/>
              </w:rPr>
            </w:pPr>
            <w:r w:rsidRPr="0085443D">
              <w:rPr>
                <w:lang w:val="sr-Cyrl-BA"/>
              </w:rPr>
              <w:t xml:space="preserve">Neadekvatna kulturna i sportska infrastruktura </w:t>
            </w:r>
          </w:p>
          <w:p w14:paraId="3B2CC70B" w14:textId="77777777" w:rsidR="003F4DEC" w:rsidRPr="0085443D" w:rsidRDefault="003F4DEC" w:rsidP="009901CE">
            <w:pPr>
              <w:numPr>
                <w:ilvl w:val="0"/>
                <w:numId w:val="13"/>
              </w:numPr>
              <w:jc w:val="both"/>
              <w:rPr>
                <w:lang w:val="en-US"/>
              </w:rPr>
            </w:pPr>
            <w:r w:rsidRPr="0085443D">
              <w:t>Nepotpuna</w:t>
            </w:r>
            <w:r w:rsidRPr="0085443D">
              <w:rPr>
                <w:lang w:val="sr-Cyrl-BA"/>
              </w:rPr>
              <w:t xml:space="preserve"> evidencij</w:t>
            </w:r>
            <w:r w:rsidRPr="0085443D">
              <w:t>a</w:t>
            </w:r>
            <w:r w:rsidRPr="0085443D">
              <w:rPr>
                <w:lang w:val="sr-Cyrl-BA"/>
              </w:rPr>
              <w:t xml:space="preserve"> o vlasništvu nad </w:t>
            </w:r>
            <w:r w:rsidR="008F63E2" w:rsidRPr="0085443D">
              <w:t xml:space="preserve">opštinskom </w:t>
            </w:r>
            <w:r w:rsidRPr="0085443D">
              <w:rPr>
                <w:lang w:val="sr-Cyrl-BA"/>
              </w:rPr>
              <w:t>imovinom i njenom vrijednosti</w:t>
            </w:r>
          </w:p>
          <w:p w14:paraId="3FDCC990" w14:textId="77777777" w:rsidR="003F4DEC" w:rsidRPr="0085443D" w:rsidRDefault="003F4DEC" w:rsidP="009901CE">
            <w:pPr>
              <w:numPr>
                <w:ilvl w:val="0"/>
                <w:numId w:val="13"/>
              </w:numPr>
              <w:jc w:val="both"/>
              <w:rPr>
                <w:lang w:val="en-US"/>
              </w:rPr>
            </w:pPr>
            <w:r w:rsidRPr="0085443D">
              <w:rPr>
                <w:lang w:val="sr-Cyrl-BA"/>
              </w:rPr>
              <w:lastRenderedPageBreak/>
              <w:t>Neusklađenost između potreba lokalne privrede i postojećih obrazovnih profila</w:t>
            </w:r>
          </w:p>
          <w:p w14:paraId="142D679E" w14:textId="77777777" w:rsidR="003F4DEC" w:rsidRPr="0085443D" w:rsidRDefault="003F4DEC" w:rsidP="009901CE">
            <w:pPr>
              <w:numPr>
                <w:ilvl w:val="0"/>
                <w:numId w:val="13"/>
              </w:numPr>
              <w:jc w:val="both"/>
              <w:rPr>
                <w:lang w:val="en-US"/>
              </w:rPr>
            </w:pPr>
            <w:r w:rsidRPr="0085443D">
              <w:t>Nedovoljno iskorišteni turistički potencijali (</w:t>
            </w:r>
            <w:r w:rsidR="00216A6F" w:rsidRPr="0085443D">
              <w:t>e</w:t>
            </w:r>
            <w:r w:rsidRPr="0085443D">
              <w:t>rgela Vuč</w:t>
            </w:r>
            <w:r w:rsidR="00216A6F" w:rsidRPr="0085443D">
              <w:t>i</w:t>
            </w:r>
            <w:r w:rsidRPr="0085443D">
              <w:t xml:space="preserve">jak, </w:t>
            </w:r>
            <w:r w:rsidR="00216A6F" w:rsidRPr="0085443D">
              <w:t xml:space="preserve">vjerski i </w:t>
            </w:r>
            <w:r w:rsidRPr="0085443D">
              <w:t>ruralni turizam)</w:t>
            </w:r>
          </w:p>
          <w:p w14:paraId="2CECC4C2" w14:textId="77777777" w:rsidR="003F4DEC" w:rsidRPr="0085443D" w:rsidRDefault="003F4DEC" w:rsidP="009901CE">
            <w:pPr>
              <w:numPr>
                <w:ilvl w:val="0"/>
                <w:numId w:val="13"/>
              </w:numPr>
              <w:jc w:val="both"/>
              <w:rPr>
                <w:lang w:val="en-US"/>
              </w:rPr>
            </w:pPr>
            <w:r w:rsidRPr="0085443D">
              <w:t>Nezadovoljavajuća energetska efikasnost objekata</w:t>
            </w:r>
          </w:p>
          <w:p w14:paraId="12450E56" w14:textId="77777777" w:rsidR="00482E2F" w:rsidRPr="0085443D" w:rsidRDefault="003F4DEC" w:rsidP="009901CE">
            <w:pPr>
              <w:numPr>
                <w:ilvl w:val="0"/>
                <w:numId w:val="13"/>
              </w:numPr>
              <w:jc w:val="both"/>
              <w:rPr>
                <w:lang w:val="en-US"/>
              </w:rPr>
            </w:pPr>
            <w:r w:rsidRPr="0085443D">
              <w:t>Neriješeno pitanje toplifikacije grada</w:t>
            </w:r>
          </w:p>
        </w:tc>
      </w:tr>
      <w:tr w:rsidR="00482E2F" w:rsidRPr="0085443D" w14:paraId="6E9D3F23" w14:textId="77777777" w:rsidTr="00797BD6">
        <w:tc>
          <w:tcPr>
            <w:tcW w:w="2668" w:type="pct"/>
            <w:shd w:val="clear" w:color="auto" w:fill="9CC2E5" w:themeFill="accent1" w:themeFillTint="99"/>
            <w:vAlign w:val="center"/>
          </w:tcPr>
          <w:p w14:paraId="066273B7" w14:textId="77777777" w:rsidR="00482E2F" w:rsidRPr="0085443D" w:rsidRDefault="001C1AB9" w:rsidP="00797BD6">
            <w:pPr>
              <w:jc w:val="center"/>
              <w:rPr>
                <w:b/>
              </w:rPr>
            </w:pPr>
            <w:r w:rsidRPr="0085443D">
              <w:rPr>
                <w:b/>
                <w:bCs/>
              </w:rPr>
              <w:lastRenderedPageBreak/>
              <w:t>PRILIKE</w:t>
            </w:r>
            <w:r w:rsidR="00482E2F" w:rsidRPr="0085443D">
              <w:rPr>
                <w:b/>
              </w:rPr>
              <w:t xml:space="preserve"> </w:t>
            </w:r>
          </w:p>
        </w:tc>
        <w:tc>
          <w:tcPr>
            <w:tcW w:w="2332" w:type="pct"/>
            <w:shd w:val="clear" w:color="auto" w:fill="9CC2E5" w:themeFill="accent1" w:themeFillTint="99"/>
            <w:vAlign w:val="center"/>
          </w:tcPr>
          <w:p w14:paraId="09FDF499" w14:textId="77777777" w:rsidR="00482E2F" w:rsidRPr="0085443D" w:rsidRDefault="001C1AB9" w:rsidP="00797BD6">
            <w:pPr>
              <w:jc w:val="center"/>
              <w:rPr>
                <w:b/>
                <w:bCs/>
              </w:rPr>
            </w:pPr>
            <w:r w:rsidRPr="0085443D">
              <w:rPr>
                <w:b/>
              </w:rPr>
              <w:t>PRIJETNJE</w:t>
            </w:r>
          </w:p>
        </w:tc>
      </w:tr>
      <w:tr w:rsidR="00482E2F" w:rsidRPr="0085443D" w14:paraId="2BF74C90" w14:textId="77777777" w:rsidTr="00797BD6">
        <w:tc>
          <w:tcPr>
            <w:tcW w:w="2668" w:type="pct"/>
            <w:shd w:val="clear" w:color="auto" w:fill="auto"/>
            <w:vAlign w:val="center"/>
          </w:tcPr>
          <w:p w14:paraId="218C0C57" w14:textId="77777777" w:rsidR="003F4DEC" w:rsidRPr="0085443D" w:rsidRDefault="003F4DEC" w:rsidP="009901CE">
            <w:pPr>
              <w:numPr>
                <w:ilvl w:val="0"/>
                <w:numId w:val="13"/>
              </w:numPr>
              <w:jc w:val="both"/>
              <w:rPr>
                <w:lang w:val="en-US"/>
              </w:rPr>
            </w:pPr>
            <w:r w:rsidRPr="0085443D">
              <w:t>Dostupnost</w:t>
            </w:r>
            <w:r w:rsidRPr="0085443D">
              <w:rPr>
                <w:lang w:val="sr-Cyrl-BA"/>
              </w:rPr>
              <w:t xml:space="preserve"> tržišta u regiji, EU, Rusiji</w:t>
            </w:r>
          </w:p>
          <w:p w14:paraId="14C22B5E" w14:textId="77777777" w:rsidR="003F4DEC" w:rsidRPr="0085443D" w:rsidRDefault="003F4DEC" w:rsidP="009901CE">
            <w:pPr>
              <w:numPr>
                <w:ilvl w:val="0"/>
                <w:numId w:val="13"/>
              </w:numPr>
              <w:jc w:val="both"/>
              <w:rPr>
                <w:lang w:val="en-US"/>
              </w:rPr>
            </w:pPr>
            <w:r w:rsidRPr="0085443D">
              <w:rPr>
                <w:lang w:val="sr-Cyrl-BA"/>
              </w:rPr>
              <w:t xml:space="preserve">Rast važnosti proizvodnje hrane, vode, obnovljivih izvora energije </w:t>
            </w:r>
            <w:r w:rsidRPr="0085443D">
              <w:rPr>
                <w:lang w:val="sr-Cyrl-CS"/>
              </w:rPr>
              <w:t xml:space="preserve">i </w:t>
            </w:r>
            <w:r w:rsidRPr="0085443D">
              <w:rPr>
                <w:lang w:val="sr-Cyrl-BA"/>
              </w:rPr>
              <w:t>turizma u globalnoj ekonomiji</w:t>
            </w:r>
          </w:p>
          <w:p w14:paraId="78066CBE" w14:textId="77777777" w:rsidR="003F4DEC" w:rsidRPr="0085443D" w:rsidRDefault="003F4DEC" w:rsidP="009901CE">
            <w:pPr>
              <w:numPr>
                <w:ilvl w:val="0"/>
                <w:numId w:val="13"/>
              </w:numPr>
              <w:jc w:val="both"/>
              <w:rPr>
                <w:lang w:val="en-US"/>
              </w:rPr>
            </w:pPr>
            <w:r w:rsidRPr="0085443D">
              <w:rPr>
                <w:lang w:val="sr-Cyrl-BA"/>
              </w:rPr>
              <w:t>Uključivanje u postojeće lance vrijednosti u zemlji</w:t>
            </w:r>
            <w:r w:rsidRPr="0085443D">
              <w:rPr>
                <w:lang w:val="sr-Cyrl-CS"/>
              </w:rPr>
              <w:t xml:space="preserve">, </w:t>
            </w:r>
            <w:r w:rsidRPr="0085443D">
              <w:rPr>
                <w:lang w:val="sr-Cyrl-BA"/>
              </w:rPr>
              <w:t xml:space="preserve">regiji </w:t>
            </w:r>
            <w:r w:rsidRPr="0085443D">
              <w:rPr>
                <w:lang w:val="sr-Cyrl-CS"/>
              </w:rPr>
              <w:t xml:space="preserve">i </w:t>
            </w:r>
            <w:r w:rsidRPr="0085443D">
              <w:rPr>
                <w:lang w:val="sr-Cyrl-BA"/>
              </w:rPr>
              <w:t>inostranstvu</w:t>
            </w:r>
          </w:p>
          <w:p w14:paraId="2986ACB0" w14:textId="77777777" w:rsidR="003F4DEC" w:rsidRPr="0085443D" w:rsidRDefault="003F4DEC" w:rsidP="009901CE">
            <w:pPr>
              <w:numPr>
                <w:ilvl w:val="0"/>
                <w:numId w:val="13"/>
              </w:numPr>
              <w:jc w:val="both"/>
              <w:rPr>
                <w:lang w:val="en-US"/>
              </w:rPr>
            </w:pPr>
            <w:r w:rsidRPr="0085443D">
              <w:t>Dostupnost eksternih izvora finansiranja razvojnih projekata</w:t>
            </w:r>
          </w:p>
          <w:p w14:paraId="2E9B9290" w14:textId="77777777" w:rsidR="003F4DEC" w:rsidRPr="0085443D" w:rsidRDefault="003F4DEC" w:rsidP="009901CE">
            <w:pPr>
              <w:numPr>
                <w:ilvl w:val="0"/>
                <w:numId w:val="13"/>
              </w:numPr>
              <w:jc w:val="both"/>
              <w:rPr>
                <w:lang w:val="en-US"/>
              </w:rPr>
            </w:pPr>
            <w:r w:rsidRPr="0085443D">
              <w:rPr>
                <w:lang w:val="sr-Cyrl-BA"/>
              </w:rPr>
              <w:t xml:space="preserve">Vizna liberalizacija stvara privredne, obrazovne </w:t>
            </w:r>
            <w:r w:rsidRPr="0085443D">
              <w:rPr>
                <w:lang w:val="sr-Cyrl-CS"/>
              </w:rPr>
              <w:t xml:space="preserve">i </w:t>
            </w:r>
            <w:r w:rsidRPr="0085443D">
              <w:rPr>
                <w:lang w:val="sr-Cyrl-BA"/>
              </w:rPr>
              <w:t>druge mogućnost</w:t>
            </w:r>
            <w:r w:rsidRPr="0085443D">
              <w:rPr>
                <w:lang w:val="sr-Cyrl-CS"/>
              </w:rPr>
              <w:t>i</w:t>
            </w:r>
          </w:p>
          <w:p w14:paraId="215261C0" w14:textId="77777777" w:rsidR="003F4DEC" w:rsidRPr="0085443D" w:rsidRDefault="003F4DEC" w:rsidP="009901CE">
            <w:pPr>
              <w:numPr>
                <w:ilvl w:val="0"/>
                <w:numId w:val="13"/>
              </w:numPr>
              <w:jc w:val="both"/>
              <w:rPr>
                <w:lang w:val="en-US"/>
              </w:rPr>
            </w:pPr>
            <w:r w:rsidRPr="0085443D">
              <w:rPr>
                <w:lang w:val="sr-Cyrl-BA"/>
              </w:rPr>
              <w:t xml:space="preserve">Korištenje znanja, poslovnih veza </w:t>
            </w:r>
            <w:r w:rsidRPr="0085443D">
              <w:rPr>
                <w:lang w:val="sr-Cyrl-CS"/>
              </w:rPr>
              <w:t xml:space="preserve">i </w:t>
            </w:r>
            <w:r w:rsidRPr="0085443D">
              <w:rPr>
                <w:lang w:val="sr-Cyrl-BA"/>
              </w:rPr>
              <w:t xml:space="preserve">kapitala </w:t>
            </w:r>
            <w:r w:rsidRPr="0085443D">
              <w:t xml:space="preserve">Prnjavorčana </w:t>
            </w:r>
            <w:r w:rsidRPr="0085443D">
              <w:rPr>
                <w:lang w:val="sr-Cyrl-BA"/>
              </w:rPr>
              <w:t>van opštine (u RS</w:t>
            </w:r>
            <w:r w:rsidRPr="0085443D">
              <w:t xml:space="preserve">, </w:t>
            </w:r>
            <w:r w:rsidRPr="0085443D">
              <w:rPr>
                <w:lang w:val="sr-Cyrl-BA"/>
              </w:rPr>
              <w:t xml:space="preserve">BiH </w:t>
            </w:r>
            <w:r w:rsidR="00216A6F" w:rsidRPr="0085443D">
              <w:t>i</w:t>
            </w:r>
            <w:r w:rsidRPr="0085443D">
              <w:rPr>
                <w:lang w:val="sr-Cyrl-BA"/>
              </w:rPr>
              <w:t xml:space="preserve"> inostranstvu)</w:t>
            </w:r>
          </w:p>
          <w:p w14:paraId="707CC881" w14:textId="77777777" w:rsidR="003F4DEC" w:rsidRPr="0085443D" w:rsidRDefault="003F4DEC" w:rsidP="009901CE">
            <w:pPr>
              <w:numPr>
                <w:ilvl w:val="0"/>
                <w:numId w:val="13"/>
              </w:numPr>
              <w:jc w:val="both"/>
              <w:rPr>
                <w:lang w:val="en-US"/>
              </w:rPr>
            </w:pPr>
            <w:r w:rsidRPr="0085443D">
              <w:rPr>
                <w:lang w:val="sr-Cyrl-BA"/>
              </w:rPr>
              <w:t>Privlačenje novih stranih i domaćih investicija</w:t>
            </w:r>
            <w:r w:rsidRPr="0085443D">
              <w:t xml:space="preserve"> stavljanjem u funkciju poslovne zone</w:t>
            </w:r>
          </w:p>
          <w:p w14:paraId="7E25012F" w14:textId="77777777" w:rsidR="003F4DEC" w:rsidRPr="0085443D" w:rsidRDefault="003F4DEC" w:rsidP="009901CE">
            <w:pPr>
              <w:numPr>
                <w:ilvl w:val="0"/>
                <w:numId w:val="13"/>
              </w:numPr>
              <w:jc w:val="both"/>
              <w:rPr>
                <w:lang w:val="en-US"/>
              </w:rPr>
            </w:pPr>
            <w:r w:rsidRPr="0085443D">
              <w:rPr>
                <w:lang w:val="sr-Cyrl-BA"/>
              </w:rPr>
              <w:t xml:space="preserve">Međuopštinsko </w:t>
            </w:r>
            <w:r w:rsidRPr="0085443D">
              <w:rPr>
                <w:lang w:val="sr-Cyrl-CS"/>
              </w:rPr>
              <w:t xml:space="preserve">i </w:t>
            </w:r>
            <w:r w:rsidRPr="0085443D">
              <w:rPr>
                <w:lang w:val="sr-Cyrl-BA"/>
              </w:rPr>
              <w:t>regionalno udruživanje zbog privredne komplementarnosti</w:t>
            </w:r>
          </w:p>
          <w:p w14:paraId="6CAB5FE2" w14:textId="77777777" w:rsidR="003F4DEC" w:rsidRPr="0085443D" w:rsidRDefault="003F4DEC" w:rsidP="009901CE">
            <w:pPr>
              <w:numPr>
                <w:ilvl w:val="0"/>
                <w:numId w:val="13"/>
              </w:numPr>
              <w:jc w:val="both"/>
              <w:rPr>
                <w:lang w:val="en-US"/>
              </w:rPr>
            </w:pPr>
            <w:r w:rsidRPr="0085443D">
              <w:t>Završetak i</w:t>
            </w:r>
            <w:r w:rsidRPr="0085443D">
              <w:rPr>
                <w:lang w:val="sr-Cyrl-BA"/>
              </w:rPr>
              <w:t>zgradnj</w:t>
            </w:r>
            <w:r w:rsidR="00216A6F" w:rsidRPr="0085443D">
              <w:t>e</w:t>
            </w:r>
            <w:r w:rsidRPr="0085443D">
              <w:rPr>
                <w:lang w:val="sr-Cyrl-BA"/>
              </w:rPr>
              <w:t xml:space="preserve"> auto-puta B</w:t>
            </w:r>
            <w:r w:rsidR="00216A6F" w:rsidRPr="0085443D">
              <w:t xml:space="preserve">anja </w:t>
            </w:r>
            <w:r w:rsidRPr="0085443D">
              <w:rPr>
                <w:lang w:val="sr-Cyrl-BA"/>
              </w:rPr>
              <w:t>L</w:t>
            </w:r>
            <w:r w:rsidR="00216A6F" w:rsidRPr="0085443D">
              <w:t>uka</w:t>
            </w:r>
            <w:r w:rsidRPr="0085443D">
              <w:rPr>
                <w:lang w:val="sr-Cyrl-CS"/>
              </w:rPr>
              <w:t>-</w:t>
            </w:r>
            <w:r w:rsidRPr="0085443D">
              <w:rPr>
                <w:lang w:val="sr-Cyrl-BA"/>
              </w:rPr>
              <w:t>Doboj</w:t>
            </w:r>
          </w:p>
          <w:p w14:paraId="058A4C07" w14:textId="77777777" w:rsidR="00482E2F" w:rsidRPr="0085443D" w:rsidRDefault="003F4DEC" w:rsidP="009901CE">
            <w:pPr>
              <w:numPr>
                <w:ilvl w:val="0"/>
                <w:numId w:val="13"/>
              </w:numPr>
              <w:jc w:val="both"/>
              <w:rPr>
                <w:lang w:val="en-US"/>
              </w:rPr>
            </w:pPr>
            <w:r w:rsidRPr="0085443D">
              <w:rPr>
                <w:lang w:val="sr-Cyrl-BA"/>
              </w:rPr>
              <w:t xml:space="preserve">Povezivanje </w:t>
            </w:r>
            <w:r w:rsidRPr="0085443D">
              <w:rPr>
                <w:lang w:val="sr-Cyrl-CS"/>
              </w:rPr>
              <w:t xml:space="preserve">pripadnika nacionalnih manjina </w:t>
            </w:r>
            <w:r w:rsidRPr="0085443D">
              <w:rPr>
                <w:lang w:val="sr-Cyrl-BA"/>
              </w:rPr>
              <w:t>sa matičnim zemljama</w:t>
            </w:r>
          </w:p>
        </w:tc>
        <w:tc>
          <w:tcPr>
            <w:tcW w:w="2332" w:type="pct"/>
            <w:shd w:val="clear" w:color="auto" w:fill="auto"/>
          </w:tcPr>
          <w:p w14:paraId="259363D0" w14:textId="77777777" w:rsidR="003F4DEC" w:rsidRPr="0085443D" w:rsidRDefault="003F4DEC" w:rsidP="009901CE">
            <w:pPr>
              <w:numPr>
                <w:ilvl w:val="0"/>
                <w:numId w:val="13"/>
              </w:numPr>
              <w:jc w:val="both"/>
              <w:rPr>
                <w:lang w:val="en-US"/>
              </w:rPr>
            </w:pPr>
            <w:r w:rsidRPr="0085443D">
              <w:rPr>
                <w:lang w:val="en-US"/>
              </w:rPr>
              <w:t>E</w:t>
            </w:r>
            <w:r w:rsidRPr="0085443D">
              <w:rPr>
                <w:lang w:val="sr-Cyrl-BA"/>
              </w:rPr>
              <w:t>konomska kriza ugrožava privredu i zaposlenost</w:t>
            </w:r>
          </w:p>
          <w:p w14:paraId="2268F00A" w14:textId="77777777" w:rsidR="003F4DEC" w:rsidRPr="0085443D" w:rsidRDefault="003F4DEC" w:rsidP="009901CE">
            <w:pPr>
              <w:numPr>
                <w:ilvl w:val="0"/>
                <w:numId w:val="13"/>
              </w:numPr>
              <w:jc w:val="both"/>
              <w:rPr>
                <w:lang w:val="en-US"/>
              </w:rPr>
            </w:pPr>
            <w:r w:rsidRPr="0085443D">
              <w:rPr>
                <w:lang w:val="sr-Cyrl-BA"/>
              </w:rPr>
              <w:t>Politička i pravna nesigurnost u BiH ugrožava investitore</w:t>
            </w:r>
          </w:p>
          <w:p w14:paraId="2ECD826E" w14:textId="77777777" w:rsidR="003F4DEC" w:rsidRPr="0085443D" w:rsidRDefault="003F4DEC" w:rsidP="009901CE">
            <w:pPr>
              <w:numPr>
                <w:ilvl w:val="0"/>
                <w:numId w:val="13"/>
              </w:numPr>
              <w:jc w:val="both"/>
              <w:rPr>
                <w:lang w:val="en-US"/>
              </w:rPr>
            </w:pPr>
            <w:r w:rsidRPr="0085443D">
              <w:rPr>
                <w:lang w:val="sr-Cyrl-BA"/>
              </w:rPr>
              <w:t xml:space="preserve">Odliv radne snage – posebno mladih visokoobrazovanih </w:t>
            </w:r>
            <w:r w:rsidRPr="0085443D">
              <w:rPr>
                <w:lang w:val="sr-Cyrl-CS"/>
              </w:rPr>
              <w:t xml:space="preserve">i </w:t>
            </w:r>
            <w:r w:rsidRPr="0085443D">
              <w:rPr>
                <w:lang w:val="sr-Cyrl-BA"/>
              </w:rPr>
              <w:t>stručnih</w:t>
            </w:r>
          </w:p>
          <w:p w14:paraId="1D1184CA" w14:textId="77777777" w:rsidR="003F4DEC" w:rsidRPr="0085443D" w:rsidRDefault="003F4DEC" w:rsidP="009901CE">
            <w:pPr>
              <w:numPr>
                <w:ilvl w:val="0"/>
                <w:numId w:val="13"/>
              </w:numPr>
              <w:jc w:val="both"/>
              <w:rPr>
                <w:lang w:val="en-US"/>
              </w:rPr>
            </w:pPr>
            <w:r w:rsidRPr="0085443D">
              <w:t>N</w:t>
            </w:r>
            <w:r w:rsidRPr="0085443D">
              <w:rPr>
                <w:lang w:val="sr-Cyrl-BA"/>
              </w:rPr>
              <w:t>ecarinske barijere</w:t>
            </w:r>
            <w:r w:rsidRPr="0085443D">
              <w:t xml:space="preserve"> za izvoz proizvoda</w:t>
            </w:r>
          </w:p>
          <w:p w14:paraId="441FF028" w14:textId="77777777" w:rsidR="003F4DEC" w:rsidRPr="0085443D" w:rsidRDefault="003F4DEC" w:rsidP="009901CE">
            <w:pPr>
              <w:numPr>
                <w:ilvl w:val="0"/>
                <w:numId w:val="13"/>
              </w:numPr>
              <w:jc w:val="both"/>
              <w:rPr>
                <w:lang w:val="en-US"/>
              </w:rPr>
            </w:pPr>
            <w:r w:rsidRPr="0085443D">
              <w:rPr>
                <w:lang w:val="sr-Cyrl-BA"/>
              </w:rPr>
              <w:t xml:space="preserve">Neusklađenost carinske, poreske </w:t>
            </w:r>
            <w:r w:rsidRPr="0085443D">
              <w:rPr>
                <w:lang w:val="sr-Cyrl-CS"/>
              </w:rPr>
              <w:t xml:space="preserve">i </w:t>
            </w:r>
            <w:r w:rsidRPr="0085443D">
              <w:rPr>
                <w:lang w:val="sr-Cyrl-BA"/>
              </w:rPr>
              <w:t>politike kontrole kvaliteta, itd.</w:t>
            </w:r>
            <w:r w:rsidRPr="0085443D">
              <w:rPr>
                <w:lang w:val="sr-Cyrl-CS"/>
              </w:rPr>
              <w:t xml:space="preserve">, </w:t>
            </w:r>
            <w:r w:rsidRPr="0085443D">
              <w:rPr>
                <w:lang w:val="sr-Cyrl-BA"/>
              </w:rPr>
              <w:t xml:space="preserve">unutar BiH </w:t>
            </w:r>
            <w:r w:rsidRPr="0085443D">
              <w:rPr>
                <w:lang w:val="sr-Cyrl-CS"/>
              </w:rPr>
              <w:t xml:space="preserve">i </w:t>
            </w:r>
            <w:r w:rsidRPr="0085443D">
              <w:rPr>
                <w:lang w:val="sr-Cyrl-BA"/>
              </w:rPr>
              <w:t>sa regijom</w:t>
            </w:r>
          </w:p>
          <w:p w14:paraId="184CFFE8" w14:textId="77777777" w:rsidR="003F4DEC" w:rsidRPr="0085443D" w:rsidRDefault="003F4DEC" w:rsidP="009901CE">
            <w:pPr>
              <w:numPr>
                <w:ilvl w:val="0"/>
                <w:numId w:val="13"/>
              </w:numPr>
              <w:jc w:val="both"/>
              <w:rPr>
                <w:lang w:val="en-US"/>
              </w:rPr>
            </w:pPr>
            <w:r w:rsidRPr="0085443D">
              <w:rPr>
                <w:lang w:val="sr-Cyrl-BA"/>
              </w:rPr>
              <w:t>Dugotrajan proces registracije privrednog društva u sudovima</w:t>
            </w:r>
          </w:p>
          <w:p w14:paraId="5D0224CC" w14:textId="77777777" w:rsidR="003F4DEC" w:rsidRPr="0085443D" w:rsidRDefault="003F4DEC" w:rsidP="009901CE">
            <w:pPr>
              <w:numPr>
                <w:ilvl w:val="0"/>
                <w:numId w:val="13"/>
              </w:numPr>
              <w:jc w:val="both"/>
              <w:rPr>
                <w:lang w:val="en-US"/>
              </w:rPr>
            </w:pPr>
            <w:r w:rsidRPr="0085443D">
              <w:rPr>
                <w:lang w:val="sr-Cyrl-BA"/>
              </w:rPr>
              <w:t xml:space="preserve">Pritisak konkurencije sa tržišta EU </w:t>
            </w:r>
            <w:r w:rsidRPr="0085443D">
              <w:rPr>
                <w:lang w:val="sr-Cyrl-CS"/>
              </w:rPr>
              <w:t xml:space="preserve">i </w:t>
            </w:r>
            <w:r w:rsidRPr="0085443D">
              <w:rPr>
                <w:lang w:val="sr-Cyrl-BA"/>
              </w:rPr>
              <w:t>globalnog tržišta</w:t>
            </w:r>
          </w:p>
          <w:p w14:paraId="364A84D2" w14:textId="77777777" w:rsidR="003F4DEC" w:rsidRPr="0085443D" w:rsidRDefault="003F4DEC" w:rsidP="009901CE">
            <w:pPr>
              <w:numPr>
                <w:ilvl w:val="0"/>
                <w:numId w:val="13"/>
              </w:numPr>
              <w:jc w:val="both"/>
              <w:rPr>
                <w:lang w:val="en-US"/>
              </w:rPr>
            </w:pPr>
            <w:r w:rsidRPr="0085443D">
              <w:rPr>
                <w:lang w:val="sr-Cyrl-BA"/>
              </w:rPr>
              <w:t>Nerazvijeni kapaciteti za korištenje  EU fondova</w:t>
            </w:r>
          </w:p>
          <w:p w14:paraId="63D6368B" w14:textId="77777777" w:rsidR="00482E2F" w:rsidRPr="0085443D" w:rsidRDefault="003F4DEC" w:rsidP="009901CE">
            <w:pPr>
              <w:numPr>
                <w:ilvl w:val="0"/>
                <w:numId w:val="13"/>
              </w:numPr>
              <w:jc w:val="both"/>
              <w:rPr>
                <w:lang w:val="en-US"/>
              </w:rPr>
            </w:pPr>
            <w:r w:rsidRPr="0085443D">
              <w:t>Moguć veći ne</w:t>
            </w:r>
            <w:r w:rsidRPr="0085443D">
              <w:rPr>
                <w:lang w:val="sr-Cyrl-BA"/>
              </w:rPr>
              <w:t xml:space="preserve">gativan uticaj na životnu sredinu termoelektrane Stanari </w:t>
            </w:r>
          </w:p>
        </w:tc>
      </w:tr>
    </w:tbl>
    <w:p w14:paraId="4940F087" w14:textId="77777777" w:rsidR="003B497A" w:rsidRPr="0085443D" w:rsidRDefault="003B497A" w:rsidP="003B497A">
      <w:pPr>
        <w:spacing w:after="100"/>
        <w:jc w:val="both"/>
        <w:rPr>
          <w:rFonts w:cs="Arial"/>
          <w:lang w:val="hr-HR"/>
        </w:rPr>
      </w:pPr>
      <w:r w:rsidRPr="0085443D">
        <w:rPr>
          <w:rFonts w:cs="Arial"/>
          <w:lang w:val="hr-HR"/>
        </w:rPr>
        <w:t>SWOT analiza je zasnovana na ažuriranoj socio-ekonomskoj analizi i uzima u obzir sadašnje stanje ključnih faktora u lokalnoj zajednici i njenom okruženju, te tako predstavlja pregled aktuelnih snaga i slabosti, prilika i prijetnji kao osnovu za definisanje strateških fokusa i ostalih elemenata revidirane Strategije razvoja.</w:t>
      </w:r>
    </w:p>
    <w:p w14:paraId="626BD9E3" w14:textId="77777777" w:rsidR="003B497A" w:rsidRPr="0085443D" w:rsidRDefault="003B497A" w:rsidP="003B497A">
      <w:pPr>
        <w:spacing w:after="80"/>
        <w:rPr>
          <w:b/>
          <w:i/>
        </w:rPr>
      </w:pPr>
      <w:r w:rsidRPr="0085443D">
        <w:rPr>
          <w:b/>
          <w:i/>
        </w:rPr>
        <w:t>Strateški fokusi</w:t>
      </w:r>
    </w:p>
    <w:p w14:paraId="5E92C104" w14:textId="77777777" w:rsidR="003F4DEC" w:rsidRPr="0085443D" w:rsidRDefault="003F4DEC" w:rsidP="009901CE">
      <w:pPr>
        <w:numPr>
          <w:ilvl w:val="0"/>
          <w:numId w:val="14"/>
        </w:numPr>
        <w:spacing w:after="100"/>
        <w:jc w:val="both"/>
        <w:rPr>
          <w:szCs w:val="28"/>
        </w:rPr>
      </w:pPr>
      <w:r w:rsidRPr="0085443D">
        <w:rPr>
          <w:szCs w:val="28"/>
        </w:rPr>
        <w:t>Povećanje konkurentnosti preduzeća i kreiranje novih radnih mjesta</w:t>
      </w:r>
    </w:p>
    <w:p w14:paraId="3F039157" w14:textId="77777777" w:rsidR="009A2B1A" w:rsidRPr="0085443D" w:rsidRDefault="009A2B1A" w:rsidP="009A2B1A">
      <w:pPr>
        <w:spacing w:after="100"/>
        <w:jc w:val="both"/>
        <w:rPr>
          <w:szCs w:val="28"/>
        </w:rPr>
      </w:pPr>
      <w:r w:rsidRPr="0085443D">
        <w:rPr>
          <w:szCs w:val="28"/>
        </w:rPr>
        <w:t>Fokus je formulisan na osnovu rezultata lokalne privrede u prethodnom periodu, uočenih trendova i težnji lokalne zajednice da se održi i unaprijedi konkurentnost, te da se kreiraju nova radna mjesta, ka</w:t>
      </w:r>
      <w:r w:rsidR="00E72F5B" w:rsidRPr="0085443D">
        <w:rPr>
          <w:szCs w:val="28"/>
        </w:rPr>
        <w:t>ko bi se povećala atraktivnost opštine za život i rad.</w:t>
      </w:r>
    </w:p>
    <w:p w14:paraId="06EB9D1C" w14:textId="77777777" w:rsidR="003F4DEC" w:rsidRPr="0085443D" w:rsidRDefault="003F4DEC" w:rsidP="009901CE">
      <w:pPr>
        <w:numPr>
          <w:ilvl w:val="0"/>
          <w:numId w:val="14"/>
        </w:numPr>
        <w:spacing w:after="100"/>
        <w:jc w:val="both"/>
        <w:rPr>
          <w:szCs w:val="28"/>
        </w:rPr>
      </w:pPr>
      <w:r w:rsidRPr="0085443D">
        <w:rPr>
          <w:szCs w:val="28"/>
        </w:rPr>
        <w:t xml:space="preserve">Unapređenje uslova života </w:t>
      </w:r>
      <w:r w:rsidR="006F22AF" w:rsidRPr="0085443D">
        <w:rPr>
          <w:szCs w:val="28"/>
        </w:rPr>
        <w:t>u urbanim i ruralnim područjima</w:t>
      </w:r>
      <w:r w:rsidRPr="0085443D">
        <w:rPr>
          <w:szCs w:val="28"/>
        </w:rPr>
        <w:t xml:space="preserve"> opštine Prnjavor</w:t>
      </w:r>
    </w:p>
    <w:p w14:paraId="17F7013C" w14:textId="77777777" w:rsidR="00E72F5B" w:rsidRPr="0085443D" w:rsidRDefault="00E72F5B" w:rsidP="00E72F5B">
      <w:pPr>
        <w:spacing w:after="100"/>
        <w:jc w:val="both"/>
        <w:rPr>
          <w:szCs w:val="28"/>
        </w:rPr>
      </w:pPr>
      <w:r w:rsidRPr="0085443D">
        <w:rPr>
          <w:szCs w:val="28"/>
        </w:rPr>
        <w:t>Pored značajnih poboljšanja u prethodnom periodu, još uvijek su prisutne potrebe za unapređenjem infrastrukture i usluga, kako u urbanim, tako i u ruralnim dijelovima opštine. Imajući u vidu negativan prirodni priraštaj i migracioni saldo, jasno je da je neophodno unaprijediti uslove života u opštini.</w:t>
      </w:r>
    </w:p>
    <w:p w14:paraId="79F707E7" w14:textId="77777777" w:rsidR="002252B1" w:rsidRPr="0085443D" w:rsidRDefault="003F4DEC" w:rsidP="009901CE">
      <w:pPr>
        <w:numPr>
          <w:ilvl w:val="0"/>
          <w:numId w:val="14"/>
        </w:numPr>
        <w:spacing w:after="100"/>
        <w:jc w:val="both"/>
        <w:rPr>
          <w:szCs w:val="28"/>
        </w:rPr>
      </w:pPr>
      <w:r w:rsidRPr="0085443D">
        <w:rPr>
          <w:szCs w:val="28"/>
        </w:rPr>
        <w:lastRenderedPageBreak/>
        <w:t>Povećanje stepena korištenja obnovljive/čiste energije u privredi, poboljšanje energetske efikasnosti i upravljanja otpadom, uz uspostavljanje mehanizama za monitoring svih elemenata životne sredine</w:t>
      </w:r>
      <w:r w:rsidR="006F22AF" w:rsidRPr="0085443D">
        <w:rPr>
          <w:szCs w:val="28"/>
        </w:rPr>
        <w:t xml:space="preserve"> i smanjenje rizika od elementarnih nepogoda i drugih nesreća</w:t>
      </w:r>
    </w:p>
    <w:p w14:paraId="14F71019" w14:textId="77777777" w:rsidR="0033519E" w:rsidRPr="0085443D" w:rsidRDefault="00E72F5B" w:rsidP="0033519E">
      <w:pPr>
        <w:spacing w:after="100"/>
        <w:jc w:val="both"/>
        <w:rPr>
          <w:szCs w:val="28"/>
        </w:rPr>
      </w:pPr>
      <w:r w:rsidRPr="0085443D">
        <w:rPr>
          <w:szCs w:val="28"/>
        </w:rPr>
        <w:t xml:space="preserve">Unapređenje energetske efikasnosti i upravljanja otpadom, te smanjenje rizika kojima je opština izložena treba da budu u fokusu u narednom periodu, što potvrđuju dešavanja u prethodnom periodu, kao i prikaz trenutnog stanja u ovoj oblasti. </w:t>
      </w:r>
    </w:p>
    <w:p w14:paraId="65314734" w14:textId="77777777" w:rsidR="003B497A" w:rsidRPr="0085443D" w:rsidRDefault="003B497A" w:rsidP="003B497A">
      <w:pPr>
        <w:spacing w:after="100"/>
        <w:jc w:val="both"/>
        <w:rPr>
          <w:rFonts w:cs="Arial"/>
          <w:b/>
          <w:i/>
          <w:lang w:val="hr-HR"/>
        </w:rPr>
      </w:pPr>
      <w:r w:rsidRPr="0085443D">
        <w:rPr>
          <w:rFonts w:cs="Arial"/>
          <w:b/>
          <w:i/>
          <w:lang w:val="hr-HR"/>
        </w:rPr>
        <w:t>Međuop</w:t>
      </w:r>
      <w:r w:rsidR="00481257" w:rsidRPr="0085443D">
        <w:rPr>
          <w:rFonts w:cs="Arial"/>
          <w:b/>
          <w:i/>
          <w:lang w:val="hr-HR"/>
        </w:rPr>
        <w:t>št</w:t>
      </w:r>
      <w:r w:rsidRPr="0085443D">
        <w:rPr>
          <w:rFonts w:cs="Arial"/>
          <w:b/>
          <w:i/>
          <w:lang w:val="hr-HR"/>
        </w:rPr>
        <w:t>inska saradnja</w:t>
      </w:r>
    </w:p>
    <w:p w14:paraId="2E85719B" w14:textId="76F9C825" w:rsidR="003B497A" w:rsidRDefault="00BE290C" w:rsidP="003B497A">
      <w:pPr>
        <w:spacing w:after="100"/>
        <w:jc w:val="both"/>
        <w:rPr>
          <w:rFonts w:cs="Arial"/>
          <w:lang w:val="hr-HR"/>
        </w:rPr>
      </w:pPr>
      <w:r w:rsidRPr="0085443D">
        <w:rPr>
          <w:rFonts w:cs="Arial"/>
          <w:lang w:val="hr-HR"/>
        </w:rPr>
        <w:t xml:space="preserve">Međuopštinska saradnja </w:t>
      </w:r>
      <w:r w:rsidR="00CB5566" w:rsidRPr="0085443D">
        <w:rPr>
          <w:rFonts w:cs="Arial"/>
          <w:lang w:val="hr-HR"/>
        </w:rPr>
        <w:t>može da bude</w:t>
      </w:r>
      <w:r w:rsidRPr="0085443D">
        <w:rPr>
          <w:rFonts w:cs="Arial"/>
          <w:lang w:val="hr-HR"/>
        </w:rPr>
        <w:t xml:space="preserve"> uspostavljena u implementaciji pojedinih inicijativa (projekata i mjera) u skladu sa procjenom korisnosti za </w:t>
      </w:r>
      <w:r w:rsidR="00CB5566" w:rsidRPr="0085443D">
        <w:rPr>
          <w:rFonts w:cs="Arial"/>
          <w:lang w:val="hr-HR"/>
        </w:rPr>
        <w:t>ostvarivanje ciljeva Strategije razvoja opštine Prnjavor</w:t>
      </w:r>
      <w:r w:rsidR="00E72F5B" w:rsidRPr="0085443D">
        <w:rPr>
          <w:rFonts w:cs="Arial"/>
          <w:lang w:val="hr-HR"/>
        </w:rPr>
        <w:t xml:space="preserve"> u oblasti privrede i zaštite životne sredine, ali i u oblasti društvenog razvoja, čime bi se iskoristile specifične prednosti opštine Prnjavor u razvojnim procesima</w:t>
      </w:r>
      <w:r w:rsidR="00CB5566" w:rsidRPr="0085443D">
        <w:rPr>
          <w:rFonts w:cs="Arial"/>
          <w:lang w:val="hr-HR"/>
        </w:rPr>
        <w:t>.</w:t>
      </w:r>
    </w:p>
    <w:p w14:paraId="678022C8" w14:textId="77777777" w:rsidR="0025768F" w:rsidRPr="0085443D" w:rsidRDefault="0025768F" w:rsidP="003B497A">
      <w:pPr>
        <w:spacing w:after="100"/>
        <w:jc w:val="both"/>
        <w:rPr>
          <w:rFonts w:cs="Arial"/>
          <w:lang w:val="hr-HR"/>
        </w:rPr>
      </w:pPr>
    </w:p>
    <w:p w14:paraId="36D0A55F" w14:textId="77777777" w:rsidR="003B497A" w:rsidRPr="0085443D" w:rsidRDefault="003B497A" w:rsidP="003B497A">
      <w:pPr>
        <w:pStyle w:val="Heading2"/>
      </w:pPr>
      <w:bookmarkStart w:id="10" w:name="_Toc462761758"/>
      <w:bookmarkStart w:id="11" w:name="_Toc496413375"/>
      <w:r w:rsidRPr="0085443D">
        <w:t>IV.3.</w:t>
      </w:r>
      <w:r w:rsidRPr="0085443D">
        <w:tab/>
        <w:t>Vizija i strateški ciljevi razvoja</w:t>
      </w:r>
      <w:bookmarkEnd w:id="10"/>
      <w:bookmarkEnd w:id="11"/>
    </w:p>
    <w:p w14:paraId="7D64EFF8" w14:textId="77777777" w:rsidR="003B497A" w:rsidRPr="0085443D" w:rsidRDefault="003B497A" w:rsidP="003B497A">
      <w:pPr>
        <w:rPr>
          <w:rFonts w:ascii="Myriad Pro" w:hAnsi="Myriad Pro"/>
          <w:bCs/>
          <w:sz w:val="24"/>
          <w:szCs w:val="24"/>
          <w:lang w:val="bs-Latn-BA"/>
        </w:rPr>
      </w:pPr>
      <w:r w:rsidRPr="0085443D">
        <w:rPr>
          <w:rFonts w:ascii="Myriad Pro" w:hAnsi="Myriad Pro"/>
          <w:bCs/>
          <w:sz w:val="24"/>
          <w:szCs w:val="24"/>
          <w:lang w:val="bs-Latn-BA"/>
        </w:rPr>
        <w:tab/>
      </w:r>
    </w:p>
    <w:p w14:paraId="245701B8" w14:textId="77777777" w:rsidR="003B497A" w:rsidRPr="0085443D" w:rsidRDefault="003B497A" w:rsidP="003B497A">
      <w:pPr>
        <w:spacing w:after="80"/>
        <w:ind w:left="-142"/>
        <w:jc w:val="center"/>
        <w:rPr>
          <w:b/>
          <w:i/>
        </w:rPr>
      </w:pPr>
      <w:r w:rsidRPr="0085443D">
        <w:rPr>
          <w:noProof/>
          <w:sz w:val="24"/>
          <w:szCs w:val="24"/>
          <w:shd w:val="clear" w:color="auto" w:fill="2E74B5" w:themeFill="accent1" w:themeFillShade="BF"/>
          <w:lang w:val="en-US"/>
        </w:rPr>
        <w:drawing>
          <wp:inline distT="0" distB="0" distL="0" distR="0" wp14:anchorId="37B077F5" wp14:editId="07F6CF4B">
            <wp:extent cx="6629400" cy="478155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8E9B6CD" w14:textId="77777777" w:rsidR="003B497A" w:rsidRPr="0085443D" w:rsidRDefault="003B497A" w:rsidP="003B497A">
      <w:pPr>
        <w:spacing w:after="80"/>
        <w:rPr>
          <w:b/>
          <w:i/>
        </w:rPr>
      </w:pPr>
    </w:p>
    <w:p w14:paraId="2CCE2B72" w14:textId="77777777" w:rsidR="0025768F" w:rsidRDefault="0025768F" w:rsidP="003B497A">
      <w:pPr>
        <w:spacing w:after="80"/>
        <w:rPr>
          <w:b/>
          <w:i/>
        </w:rPr>
      </w:pPr>
    </w:p>
    <w:p w14:paraId="473415B3" w14:textId="77777777" w:rsidR="0025768F" w:rsidRDefault="0025768F" w:rsidP="003B497A">
      <w:pPr>
        <w:spacing w:after="80"/>
        <w:rPr>
          <w:b/>
          <w:i/>
        </w:rPr>
      </w:pPr>
    </w:p>
    <w:p w14:paraId="7916B0D5" w14:textId="33D68188" w:rsidR="003B497A" w:rsidRPr="0085443D" w:rsidRDefault="003B497A" w:rsidP="003B497A">
      <w:pPr>
        <w:spacing w:after="80"/>
        <w:rPr>
          <w:b/>
          <w:i/>
        </w:rPr>
      </w:pPr>
      <w:r w:rsidRPr="0085443D">
        <w:rPr>
          <w:b/>
          <w:i/>
        </w:rPr>
        <w:lastRenderedPageBreak/>
        <w:t>Strateški ciljevi</w:t>
      </w:r>
    </w:p>
    <w:p w14:paraId="768ADDD3" w14:textId="77777777" w:rsidR="003B497A" w:rsidRPr="0085443D" w:rsidRDefault="003B497A" w:rsidP="003B497A">
      <w:pPr>
        <w:spacing w:after="100"/>
        <w:jc w:val="both"/>
        <w:rPr>
          <w:rFonts w:cs="Arial"/>
          <w:lang w:val="hr-HR"/>
        </w:rPr>
      </w:pPr>
      <w:r w:rsidRPr="0085443D">
        <w:rPr>
          <w:rFonts w:cs="Arial"/>
          <w:lang w:val="hr-HR"/>
        </w:rPr>
        <w:t xml:space="preserve">Revidirani strateški ciljevi su formulisani u skladu sa aktuelnim stanjem i razvojnim težnjama </w:t>
      </w:r>
      <w:r w:rsidR="008D03E3" w:rsidRPr="0085443D">
        <w:rPr>
          <w:rFonts w:cs="Arial"/>
          <w:lang w:val="hr-HR"/>
        </w:rPr>
        <w:t>opštine</w:t>
      </w:r>
      <w:r w:rsidRPr="0085443D">
        <w:rPr>
          <w:rFonts w:cs="Arial"/>
          <w:lang w:val="hr-HR"/>
        </w:rPr>
        <w:t xml:space="preserve"> i uzimaju u obzir do sada ostvarena poboljšanja u lokalnoj zajednici. </w:t>
      </w:r>
    </w:p>
    <w:p w14:paraId="486CF0FF" w14:textId="77777777" w:rsidR="008D03E3" w:rsidRPr="0085443D" w:rsidRDefault="008D03E3" w:rsidP="008D03E3">
      <w:pPr>
        <w:spacing w:after="100"/>
        <w:jc w:val="both"/>
        <w:rPr>
          <w:rFonts w:cs="Arial"/>
          <w:lang w:val="hr-HR"/>
        </w:rPr>
      </w:pPr>
      <w:r w:rsidRPr="0085443D">
        <w:rPr>
          <w:rFonts w:cs="Arial"/>
          <w:lang w:val="hr-HR"/>
        </w:rPr>
        <w:t>Prvi strateški cilj se odnosi na prvi strateški fokus i usmjeren je na privredu.</w:t>
      </w:r>
    </w:p>
    <w:p w14:paraId="16663E88" w14:textId="77777777" w:rsidR="003B497A" w:rsidRPr="0085443D" w:rsidRDefault="003F4DEC" w:rsidP="003F4DEC">
      <w:pPr>
        <w:numPr>
          <w:ilvl w:val="0"/>
          <w:numId w:val="1"/>
        </w:numPr>
        <w:spacing w:after="80"/>
        <w:jc w:val="both"/>
        <w:rPr>
          <w:b/>
          <w:lang w:val="en-US"/>
        </w:rPr>
      </w:pPr>
      <w:r w:rsidRPr="0085443D">
        <w:rPr>
          <w:b/>
        </w:rPr>
        <w:t>Unapređena konkurentnost i tržišna orijentacija lokalne privrede sa kreiranjem novih radnih mjesta</w:t>
      </w:r>
    </w:p>
    <w:p w14:paraId="6B799D5A" w14:textId="77777777" w:rsidR="003B497A" w:rsidRPr="0085443D" w:rsidRDefault="003B497A" w:rsidP="003B497A">
      <w:pPr>
        <w:spacing w:after="100"/>
        <w:jc w:val="both"/>
        <w:rPr>
          <w:rFonts w:cs="Arial"/>
          <w:lang w:val="hr-HR"/>
        </w:rPr>
      </w:pPr>
      <w:r w:rsidRPr="0085443D">
        <w:t>Očekivani uticaj revidiranog strateškog cilja na sveukupni razvoj op</w:t>
      </w:r>
      <w:r w:rsidR="00B644E7" w:rsidRPr="0085443D">
        <w:t>št</w:t>
      </w:r>
      <w:r w:rsidRPr="0085443D">
        <w:t xml:space="preserve">ine </w:t>
      </w:r>
      <w:r w:rsidR="00B644E7" w:rsidRPr="0085443D">
        <w:t>Prnjavor</w:t>
      </w:r>
      <w:r w:rsidRPr="0085443D">
        <w:t xml:space="preserve"> će se pratiti kroz sljedeće ključne makroindikatore:</w:t>
      </w:r>
    </w:p>
    <w:p w14:paraId="766BBEC3" w14:textId="41A67860" w:rsidR="00A31BEA" w:rsidRPr="00A31BEA" w:rsidRDefault="00A31BEA" w:rsidP="00A31BEA">
      <w:pPr>
        <w:numPr>
          <w:ilvl w:val="0"/>
          <w:numId w:val="2"/>
        </w:numPr>
        <w:spacing w:after="100"/>
        <w:jc w:val="both"/>
        <w:rPr>
          <w:rFonts w:cs="Arial"/>
          <w:lang w:val="hr-HR"/>
        </w:rPr>
      </w:pPr>
      <w:r w:rsidRPr="00A31BEA">
        <w:rPr>
          <w:rFonts w:cs="Arial"/>
          <w:lang w:val="hr-HR"/>
        </w:rPr>
        <w:t xml:space="preserve">Povećan broj zaposlenih u privredi na području opštine za 5% do 2020. godine u odnosu na 2017. </w:t>
      </w:r>
    </w:p>
    <w:p w14:paraId="1E823647" w14:textId="6C2D7510" w:rsidR="00A31BEA" w:rsidRPr="00A31BEA" w:rsidRDefault="00A31BEA" w:rsidP="00A31BEA">
      <w:pPr>
        <w:numPr>
          <w:ilvl w:val="0"/>
          <w:numId w:val="2"/>
        </w:numPr>
        <w:spacing w:after="100"/>
        <w:jc w:val="both"/>
        <w:rPr>
          <w:rFonts w:cs="Arial"/>
          <w:lang w:val="hr-HR"/>
        </w:rPr>
      </w:pPr>
      <w:r w:rsidRPr="00A31BEA">
        <w:rPr>
          <w:rFonts w:cs="Arial"/>
          <w:lang w:val="hr-HR"/>
        </w:rPr>
        <w:t xml:space="preserve">Povećan ukupni prihod privrednih subjekata za 5% do </w:t>
      </w:r>
      <w:r>
        <w:rPr>
          <w:rFonts w:cs="Arial"/>
          <w:lang w:val="hr-HR"/>
        </w:rPr>
        <w:t xml:space="preserve">2020. godine u odnosu na 2017. </w:t>
      </w:r>
    </w:p>
    <w:p w14:paraId="1DAD0894" w14:textId="046909F4" w:rsidR="003B497A" w:rsidRPr="0085443D" w:rsidRDefault="00A31BEA" w:rsidP="00A31BEA">
      <w:pPr>
        <w:numPr>
          <w:ilvl w:val="0"/>
          <w:numId w:val="2"/>
        </w:numPr>
        <w:spacing w:after="100"/>
        <w:jc w:val="both"/>
        <w:rPr>
          <w:rFonts w:cs="Arial"/>
          <w:lang w:val="hr-HR"/>
        </w:rPr>
      </w:pPr>
      <w:r w:rsidRPr="00A31BEA">
        <w:rPr>
          <w:rFonts w:cs="Arial"/>
          <w:lang w:val="hr-HR"/>
        </w:rPr>
        <w:t>Povećan izvoz za 5% do 2020. godine u odnosu na 2017. godinu</w:t>
      </w:r>
      <w:r w:rsidR="003B497A" w:rsidRPr="0085443D">
        <w:t>.</w:t>
      </w:r>
    </w:p>
    <w:p w14:paraId="122EDC47" w14:textId="77777777" w:rsidR="003B497A" w:rsidRPr="0085443D" w:rsidRDefault="006F22AF" w:rsidP="003B497A">
      <w:pPr>
        <w:spacing w:after="80"/>
        <w:jc w:val="both"/>
        <w:rPr>
          <w:rFonts w:cs="Arial"/>
          <w:lang w:val="hr-HR"/>
        </w:rPr>
      </w:pPr>
      <w:r w:rsidRPr="0085443D">
        <w:rPr>
          <w:rFonts w:cs="Arial"/>
          <w:lang w:val="hr-HR"/>
        </w:rPr>
        <w:t>Drugi strateški cilj se odnosi na drugi strateški fokus i usmjeren je na društveni razvoj.</w:t>
      </w:r>
    </w:p>
    <w:p w14:paraId="2AC54059" w14:textId="77777777" w:rsidR="003B497A" w:rsidRPr="0085443D" w:rsidRDefault="00AE71BF" w:rsidP="006F22AF">
      <w:pPr>
        <w:numPr>
          <w:ilvl w:val="0"/>
          <w:numId w:val="1"/>
        </w:numPr>
        <w:spacing w:after="80"/>
        <w:jc w:val="both"/>
        <w:rPr>
          <w:b/>
          <w:lang w:val="en-US"/>
        </w:rPr>
      </w:pPr>
      <w:r w:rsidRPr="0085443D">
        <w:rPr>
          <w:b/>
        </w:rPr>
        <w:t>Ostvaren visok kvalitet javnih i komunalnih usluga sa razvijenom društvenom infrastrukturom u urbanom i ruralnom području</w:t>
      </w:r>
    </w:p>
    <w:p w14:paraId="6C4264C8" w14:textId="77777777" w:rsidR="003B497A" w:rsidRPr="0085443D" w:rsidRDefault="003B497A" w:rsidP="003B497A">
      <w:pPr>
        <w:spacing w:after="100"/>
        <w:jc w:val="both"/>
      </w:pPr>
      <w:r w:rsidRPr="0085443D">
        <w:t>Očekivani uticaj revidiranog strateškog cilja na sveukupni razvoj op</w:t>
      </w:r>
      <w:r w:rsidR="00B644E7" w:rsidRPr="0085443D">
        <w:t>št</w:t>
      </w:r>
      <w:r w:rsidRPr="0085443D">
        <w:t>ine će se pratiti kroz sljedeće ključne makroindikatore:</w:t>
      </w:r>
    </w:p>
    <w:p w14:paraId="19E09EE8" w14:textId="020527CC" w:rsidR="00A31BEA" w:rsidRPr="00A31BEA" w:rsidRDefault="00A31BEA" w:rsidP="00A31BEA">
      <w:pPr>
        <w:numPr>
          <w:ilvl w:val="0"/>
          <w:numId w:val="2"/>
        </w:numPr>
        <w:spacing w:after="100"/>
        <w:jc w:val="both"/>
        <w:rPr>
          <w:rFonts w:asciiTheme="minorHAnsi" w:eastAsia="Times New Roman" w:hAnsiTheme="minorHAnsi" w:cstheme="minorHAnsi"/>
        </w:rPr>
      </w:pPr>
      <w:r w:rsidRPr="00A31BEA">
        <w:rPr>
          <w:rFonts w:asciiTheme="minorHAnsi" w:eastAsia="Times New Roman" w:hAnsiTheme="minorHAnsi" w:cstheme="minorHAnsi"/>
        </w:rPr>
        <w:t>Najmanje 70% anketiranih stanovnika zadovoljno kvalitetom javnih i komunalnih usluga i društvenom infrastrukturom u urbanim i ruralnim pod</w:t>
      </w:r>
      <w:r>
        <w:rPr>
          <w:rFonts w:asciiTheme="minorHAnsi" w:eastAsia="Times New Roman" w:hAnsiTheme="minorHAnsi" w:cstheme="minorHAnsi"/>
        </w:rPr>
        <w:t>ručjima opštine do 2020. godine,</w:t>
      </w:r>
    </w:p>
    <w:p w14:paraId="75D43C30" w14:textId="2162EE2D" w:rsidR="003B497A" w:rsidRPr="0085443D" w:rsidRDefault="00A31BEA" w:rsidP="00A31BEA">
      <w:pPr>
        <w:numPr>
          <w:ilvl w:val="0"/>
          <w:numId w:val="2"/>
        </w:numPr>
        <w:spacing w:after="100"/>
        <w:jc w:val="both"/>
        <w:rPr>
          <w:rFonts w:cs="Arial"/>
          <w:lang w:val="hr-HR"/>
        </w:rPr>
      </w:pPr>
      <w:r w:rsidRPr="00A31BEA">
        <w:rPr>
          <w:rFonts w:asciiTheme="minorHAnsi" w:eastAsia="Times New Roman" w:hAnsiTheme="minorHAnsi" w:cstheme="minorHAnsi"/>
        </w:rPr>
        <w:t>Održan broj stanovnika u urbanim i ruralnim područjima 2020. u odnosu na 2017. godinu</w:t>
      </w:r>
      <w:r>
        <w:rPr>
          <w:rFonts w:asciiTheme="minorHAnsi" w:eastAsia="Times New Roman" w:hAnsiTheme="minorHAnsi" w:cstheme="minorHAnsi"/>
        </w:rPr>
        <w:t>.</w:t>
      </w:r>
      <w:r w:rsidR="003B497A" w:rsidRPr="0085443D">
        <w:rPr>
          <w:rFonts w:cs="Arial"/>
          <w:lang w:val="hr-HR"/>
        </w:rPr>
        <w:t xml:space="preserve">    </w:t>
      </w:r>
    </w:p>
    <w:p w14:paraId="6A15ED61" w14:textId="77777777" w:rsidR="008D03E3" w:rsidRPr="0085443D" w:rsidRDefault="008D03E3" w:rsidP="008D03E3">
      <w:pPr>
        <w:spacing w:after="100"/>
      </w:pPr>
    </w:p>
    <w:p w14:paraId="66408A76" w14:textId="77777777" w:rsidR="008D03E3" w:rsidRPr="0085443D" w:rsidRDefault="008D03E3" w:rsidP="008D03E3">
      <w:pPr>
        <w:spacing w:after="100"/>
      </w:pPr>
      <w:r w:rsidRPr="0085443D">
        <w:t xml:space="preserve">Treći strateški cilj se odnosi </w:t>
      </w:r>
      <w:r w:rsidRPr="0085443D">
        <w:rPr>
          <w:rFonts w:cs="Arial"/>
          <w:lang w:val="hr-HR"/>
        </w:rPr>
        <w:t xml:space="preserve">na treći strateški fokus i usmjeren je </w:t>
      </w:r>
      <w:r w:rsidRPr="0085443D">
        <w:t xml:space="preserve">na životnu sredinu. </w:t>
      </w:r>
    </w:p>
    <w:p w14:paraId="550CC41B" w14:textId="0C5EFEB8" w:rsidR="003B497A" w:rsidRPr="00312329" w:rsidRDefault="00AE71BF" w:rsidP="006F3122">
      <w:pPr>
        <w:numPr>
          <w:ilvl w:val="0"/>
          <w:numId w:val="1"/>
        </w:numPr>
        <w:spacing w:after="80"/>
        <w:jc w:val="both"/>
        <w:rPr>
          <w:b/>
          <w:lang w:val="en-US"/>
        </w:rPr>
      </w:pPr>
      <w:r w:rsidRPr="0085443D">
        <w:rPr>
          <w:b/>
        </w:rPr>
        <w:t xml:space="preserve">Unapređen sistem upravljanja otpadom i energetska efikasnost i povećan stepen korištenja obnovljive / čiste energije uz smanjenje rizika od elementarnih nepogoda i drugih nesreća  </w:t>
      </w:r>
    </w:p>
    <w:p w14:paraId="335E9875" w14:textId="0A26C752" w:rsidR="00312329" w:rsidRPr="00312329" w:rsidRDefault="00312329" w:rsidP="00312329">
      <w:pPr>
        <w:spacing w:after="80"/>
        <w:ind w:left="720"/>
        <w:jc w:val="both"/>
        <w:rPr>
          <w:b/>
          <w:i/>
          <w:lang w:val="en-US"/>
        </w:rPr>
      </w:pPr>
      <w:r w:rsidRPr="00312329">
        <w:rPr>
          <w:b/>
          <w:i/>
          <w:highlight w:val="yellow"/>
        </w:rPr>
        <w:t>Unaprijeđen sistem upravljanja okolišem uz smanjenje rizika od elementarnih nepogoda i drug</w:t>
      </w:r>
      <w:r>
        <w:rPr>
          <w:b/>
          <w:i/>
          <w:highlight w:val="yellow"/>
        </w:rPr>
        <w:t>i</w:t>
      </w:r>
      <w:r w:rsidRPr="00312329">
        <w:rPr>
          <w:b/>
          <w:i/>
          <w:highlight w:val="yellow"/>
        </w:rPr>
        <w:t>h nesreća</w:t>
      </w:r>
    </w:p>
    <w:p w14:paraId="65CC2795" w14:textId="77777777" w:rsidR="003B497A" w:rsidRPr="0085443D" w:rsidRDefault="003B497A" w:rsidP="003B497A">
      <w:pPr>
        <w:spacing w:after="100"/>
        <w:jc w:val="both"/>
      </w:pPr>
      <w:r w:rsidRPr="0085443D">
        <w:t>Očekivani uticaj revidiranog strateškog cilja na sveukupni razvoj op</w:t>
      </w:r>
      <w:r w:rsidR="00B644E7" w:rsidRPr="0085443D">
        <w:t>št</w:t>
      </w:r>
      <w:r w:rsidRPr="0085443D">
        <w:t xml:space="preserve">ine </w:t>
      </w:r>
      <w:r w:rsidR="00B644E7" w:rsidRPr="0085443D">
        <w:t>Prnjavor</w:t>
      </w:r>
      <w:r w:rsidRPr="0085443D">
        <w:t xml:space="preserve"> će se pratiti kroz sljedeće ključne makroindikatore:</w:t>
      </w:r>
    </w:p>
    <w:p w14:paraId="2B4108FE" w14:textId="0432CDDD" w:rsidR="00A31BEA" w:rsidRPr="00A31BEA" w:rsidRDefault="00A31BEA" w:rsidP="00A31BEA">
      <w:pPr>
        <w:numPr>
          <w:ilvl w:val="0"/>
          <w:numId w:val="2"/>
        </w:numPr>
        <w:spacing w:after="100"/>
        <w:jc w:val="both"/>
        <w:rPr>
          <w:rFonts w:asciiTheme="minorHAnsi" w:eastAsia="Times New Roman" w:hAnsiTheme="minorHAnsi" w:cstheme="minorHAnsi"/>
        </w:rPr>
      </w:pPr>
      <w:r w:rsidRPr="00A31BEA">
        <w:rPr>
          <w:rFonts w:asciiTheme="minorHAnsi" w:eastAsia="Times New Roman" w:hAnsiTheme="minorHAnsi" w:cstheme="minorHAnsi"/>
        </w:rPr>
        <w:t xml:space="preserve">Smanjena količina otpada koji se transportuje na deponiju za XY % do 2020. u odnosu na 2017. </w:t>
      </w:r>
    </w:p>
    <w:p w14:paraId="7902B915" w14:textId="585A69CE" w:rsidR="00A31BEA" w:rsidRPr="00A31BEA" w:rsidRDefault="001A3240" w:rsidP="00A31BEA">
      <w:pPr>
        <w:numPr>
          <w:ilvl w:val="0"/>
          <w:numId w:val="2"/>
        </w:numPr>
        <w:spacing w:after="100"/>
        <w:jc w:val="both"/>
        <w:rPr>
          <w:rFonts w:asciiTheme="minorHAnsi" w:eastAsia="Times New Roman" w:hAnsiTheme="minorHAnsi" w:cstheme="minorHAnsi"/>
        </w:rPr>
      </w:pPr>
      <w:r>
        <w:rPr>
          <w:rFonts w:asciiTheme="minorHAnsi" w:eastAsia="Times New Roman" w:hAnsiTheme="minorHAnsi" w:cstheme="minorHAnsi"/>
        </w:rPr>
        <w:t>Emisija</w:t>
      </w:r>
      <w:r w:rsidR="00A31BEA" w:rsidRPr="00A31BEA">
        <w:rPr>
          <w:rFonts w:asciiTheme="minorHAnsi" w:eastAsia="Times New Roman" w:hAnsiTheme="minorHAnsi" w:cstheme="minorHAnsi"/>
        </w:rPr>
        <w:t xml:space="preserve"> CO2 smanjene za 70% do kraja 202</w:t>
      </w:r>
      <w:r w:rsidR="00505853">
        <w:rPr>
          <w:rFonts w:asciiTheme="minorHAnsi" w:eastAsia="Times New Roman" w:hAnsiTheme="minorHAnsi" w:cstheme="minorHAnsi"/>
        </w:rPr>
        <w:t>0</w:t>
      </w:r>
      <w:r w:rsidR="00A31BEA" w:rsidRPr="00A31BEA">
        <w:rPr>
          <w:rFonts w:asciiTheme="minorHAnsi" w:eastAsia="Times New Roman" w:hAnsiTheme="minorHAnsi" w:cstheme="minorHAnsi"/>
        </w:rPr>
        <w:t xml:space="preserve">. godine u odnosu na 2016. </w:t>
      </w:r>
    </w:p>
    <w:p w14:paraId="78835F66" w14:textId="691D55D9" w:rsidR="00A31BEA" w:rsidRPr="00A31BEA" w:rsidRDefault="00A31BEA" w:rsidP="00A31BEA">
      <w:pPr>
        <w:numPr>
          <w:ilvl w:val="0"/>
          <w:numId w:val="2"/>
        </w:numPr>
        <w:spacing w:after="100"/>
        <w:jc w:val="both"/>
        <w:rPr>
          <w:rFonts w:asciiTheme="minorHAnsi" w:eastAsia="Times New Roman" w:hAnsiTheme="minorHAnsi" w:cstheme="minorHAnsi"/>
        </w:rPr>
      </w:pPr>
      <w:r w:rsidRPr="00A31BEA">
        <w:rPr>
          <w:rFonts w:asciiTheme="minorHAnsi" w:eastAsia="Times New Roman" w:hAnsiTheme="minorHAnsi" w:cstheme="minorHAnsi"/>
        </w:rPr>
        <w:t xml:space="preserve">Proizvodnja energije iz obnovljivih izvora na području Opštine Prnjavor povećana za XY% do 2020. u odnosu na 2017. </w:t>
      </w:r>
    </w:p>
    <w:p w14:paraId="62EFC729" w14:textId="48BC4607" w:rsidR="00A31BEA" w:rsidRPr="00A31BEA" w:rsidRDefault="00A31BEA" w:rsidP="00A31BEA">
      <w:pPr>
        <w:numPr>
          <w:ilvl w:val="0"/>
          <w:numId w:val="2"/>
        </w:numPr>
        <w:spacing w:after="100"/>
        <w:jc w:val="both"/>
        <w:rPr>
          <w:rFonts w:asciiTheme="minorHAnsi" w:eastAsia="Times New Roman" w:hAnsiTheme="minorHAnsi" w:cstheme="minorHAnsi"/>
        </w:rPr>
      </w:pPr>
      <w:r w:rsidRPr="00A31BEA">
        <w:rPr>
          <w:rFonts w:asciiTheme="minorHAnsi" w:eastAsia="Times New Roman" w:hAnsiTheme="minorHAnsi" w:cstheme="minorHAnsi"/>
        </w:rPr>
        <w:t xml:space="preserve">Do 2020. godine rizici od elementarnih nepogoda smanjeni za kategoriju niže u odnosu na 2017. </w:t>
      </w:r>
    </w:p>
    <w:p w14:paraId="1877B18F" w14:textId="23B85A85" w:rsidR="003B497A" w:rsidRPr="00A31BEA" w:rsidRDefault="00A31BEA" w:rsidP="00A31BEA">
      <w:pPr>
        <w:numPr>
          <w:ilvl w:val="0"/>
          <w:numId w:val="2"/>
        </w:numPr>
        <w:spacing w:after="100"/>
        <w:jc w:val="both"/>
        <w:rPr>
          <w:rFonts w:asciiTheme="minorHAnsi" w:eastAsia="Times New Roman" w:hAnsiTheme="minorHAnsi" w:cstheme="minorHAnsi"/>
        </w:rPr>
      </w:pPr>
      <w:r w:rsidRPr="00A31BEA">
        <w:rPr>
          <w:rFonts w:asciiTheme="minorHAnsi" w:eastAsia="Times New Roman" w:hAnsiTheme="minorHAnsi" w:cstheme="minorHAnsi"/>
        </w:rPr>
        <w:t>Najmanje 70% anketiranih stanovnika zadovoljno stanjem životne okoline na području opštine Prnjavor do 2020. godine</w:t>
      </w:r>
    </w:p>
    <w:p w14:paraId="42E38401" w14:textId="77777777" w:rsidR="003B497A" w:rsidRPr="00D44AF3" w:rsidRDefault="003B497A" w:rsidP="003B497A">
      <w:pPr>
        <w:rPr>
          <w:rFonts w:ascii="Myriad Pro" w:hAnsi="Myriad Pro"/>
          <w:bCs/>
          <w:lang w:val="bs-Latn-BA"/>
        </w:rPr>
      </w:pPr>
    </w:p>
    <w:p w14:paraId="2D4BF806" w14:textId="77777777" w:rsidR="003B497A" w:rsidRPr="00D44AF3" w:rsidRDefault="003B497A" w:rsidP="003B497A">
      <w:pPr>
        <w:rPr>
          <w:rFonts w:ascii="Myriad Pro" w:hAnsi="Myriad Pro"/>
          <w:bCs/>
          <w:lang w:val="bs-Latn-BA"/>
        </w:rPr>
      </w:pPr>
    </w:p>
    <w:p w14:paraId="5676D9F7" w14:textId="77777777" w:rsidR="003B497A" w:rsidRPr="00D44AF3" w:rsidRDefault="003B497A" w:rsidP="003B497A">
      <w:pPr>
        <w:rPr>
          <w:rFonts w:ascii="Myriad Pro" w:hAnsi="Myriad Pro"/>
          <w:bCs/>
          <w:lang w:val="bs-Latn-BA"/>
        </w:rPr>
      </w:pPr>
    </w:p>
    <w:p w14:paraId="2894C621" w14:textId="77777777" w:rsidR="003B497A" w:rsidRPr="00D44AF3" w:rsidRDefault="003B497A" w:rsidP="003B497A">
      <w:pPr>
        <w:rPr>
          <w:rFonts w:ascii="Myriad Pro" w:hAnsi="Myriad Pro"/>
          <w:bCs/>
          <w:lang w:val="bs-Latn-BA"/>
        </w:rPr>
      </w:pPr>
    </w:p>
    <w:p w14:paraId="6E819AF4" w14:textId="77777777" w:rsidR="003B497A" w:rsidRPr="00D44AF3" w:rsidRDefault="003B497A" w:rsidP="003B497A">
      <w:pPr>
        <w:rPr>
          <w:rFonts w:ascii="Myriad Pro" w:hAnsi="Myriad Pro"/>
          <w:bCs/>
          <w:lang w:val="bs-Latn-BA"/>
        </w:rPr>
      </w:pPr>
    </w:p>
    <w:p w14:paraId="7D2280F7" w14:textId="77777777" w:rsidR="003B497A" w:rsidRPr="00D44AF3" w:rsidRDefault="003B497A" w:rsidP="003B497A">
      <w:pPr>
        <w:rPr>
          <w:rFonts w:ascii="Myriad Pro" w:hAnsi="Myriad Pro"/>
          <w:bCs/>
          <w:lang w:val="bs-Latn-BA"/>
        </w:rPr>
      </w:pPr>
    </w:p>
    <w:p w14:paraId="2AFA5595" w14:textId="7283AC87" w:rsidR="004F4EE7" w:rsidRDefault="005F4B92" w:rsidP="004F4EE7">
      <w:pPr>
        <w:pStyle w:val="Heading1"/>
        <w:rPr>
          <w:lang w:val="bs-Latn-BA"/>
        </w:rPr>
      </w:pPr>
      <w:bookmarkStart w:id="12" w:name="_Toc496413376"/>
      <w:r>
        <w:rPr>
          <w:lang w:val="bs-Latn-BA"/>
        </w:rPr>
        <w:lastRenderedPageBreak/>
        <w:t xml:space="preserve">V </w:t>
      </w:r>
      <w:r w:rsidR="004F4EE7" w:rsidRPr="000650B8">
        <w:rPr>
          <w:lang w:val="bs-Latn-BA"/>
        </w:rPr>
        <w:t>Sektorski razvojni planovi</w:t>
      </w:r>
      <w:bookmarkEnd w:id="12"/>
    </w:p>
    <w:p w14:paraId="60B1F2F1" w14:textId="77777777" w:rsidR="004F4EE7" w:rsidRPr="00560A85" w:rsidRDefault="004F4EE7" w:rsidP="004F4EE7">
      <w:pPr>
        <w:pStyle w:val="Heading2"/>
      </w:pPr>
      <w:bookmarkStart w:id="13" w:name="_Toc488761237"/>
      <w:bookmarkStart w:id="14" w:name="_Toc496413377"/>
      <w:r w:rsidRPr="00560A85">
        <w:t xml:space="preserve">V.1. </w:t>
      </w:r>
      <w:r>
        <w:t>U</w:t>
      </w:r>
      <w:r w:rsidRPr="00560A85">
        <w:t>sklađenost, komplementarnost i međusobni uticaj sektorskih planova</w:t>
      </w:r>
      <w:bookmarkEnd w:id="13"/>
      <w:bookmarkEnd w:id="14"/>
    </w:p>
    <w:p w14:paraId="25C20223" w14:textId="77777777" w:rsidR="004F4EE7" w:rsidRPr="00D44AF3" w:rsidRDefault="004F4EE7" w:rsidP="004F4EE7">
      <w:pPr>
        <w:spacing w:after="100"/>
        <w:jc w:val="both"/>
      </w:pPr>
      <w:r w:rsidRPr="00D44AF3">
        <w:t xml:space="preserve">Kod definisanja elemenata u svakom od tri sektorska plana se vodilo računa o tome da implementacija bilo kojeg od navedenih planova ne utiče negativno na implementaciju i rezultate ostalih planova. </w:t>
      </w:r>
    </w:p>
    <w:p w14:paraId="1ED8B27D" w14:textId="1E492A72" w:rsidR="004F4EE7" w:rsidRPr="00D44AF3" w:rsidRDefault="004F4EE7" w:rsidP="004F4EE7">
      <w:pPr>
        <w:spacing w:after="100"/>
        <w:jc w:val="both"/>
      </w:pPr>
      <w:r w:rsidRPr="00D44AF3">
        <w:t xml:space="preserve">Tako je kod definisanja elemenata u planu ekonomskog razvoja </w:t>
      </w:r>
      <w:r>
        <w:t>uzet</w:t>
      </w:r>
      <w:r w:rsidRPr="00D44AF3">
        <w:t xml:space="preserve"> u obzir uticaj na životnu sredinu, ali i na društveni razvoj, pa su predviđene intervencije usklađene sa težnjom lokalne zajednice da na najbolji mogući način iskoristi ograničene lokalne resurse i da bude atraktivna ne samo za poslovanje, nego i za život</w:t>
      </w:r>
      <w:r>
        <w:t>, nudeći više prilika za zapošljavanje stanovništva</w:t>
      </w:r>
      <w:r w:rsidRPr="00D44AF3">
        <w:t xml:space="preserve">. </w:t>
      </w:r>
      <w:r>
        <w:t xml:space="preserve">Predviđeni projekti i mjere treba da dovedu do novih investicija i razvoja privrede </w:t>
      </w:r>
      <w:r w:rsidR="00CF25E0">
        <w:t xml:space="preserve">u uslovima unapređene poslovne infrastrukture </w:t>
      </w:r>
      <w:r>
        <w:t>i poljoprivrede</w:t>
      </w:r>
      <w:r w:rsidR="00CF25E0">
        <w:t xml:space="preserve"> podržane podsticajima i savjetodavnom podrškom</w:t>
      </w:r>
      <w:r>
        <w:t>, ali bez štetnih posljedica po životnu sredinu</w:t>
      </w:r>
      <w:r w:rsidR="00CF25E0">
        <w:t>, kako bi bio moguć i razvoj turizma</w:t>
      </w:r>
      <w:r>
        <w:t>. Takođe je potrebna bliska saradnja sa subjektima koji djeluju prvenstveno u oblasti društvenog razvoja</w:t>
      </w:r>
      <w:r w:rsidR="003F59CE">
        <w:t xml:space="preserve"> u pogledu poboljšanja radne snage</w:t>
      </w:r>
      <w:r>
        <w:t xml:space="preserve">. </w:t>
      </w:r>
    </w:p>
    <w:p w14:paraId="7A441A9B" w14:textId="3AFC493F" w:rsidR="004F4EE7" w:rsidRPr="00D44AF3" w:rsidRDefault="004F4EE7" w:rsidP="004F4EE7">
      <w:pPr>
        <w:spacing w:after="100"/>
        <w:jc w:val="both"/>
      </w:pPr>
      <w:r w:rsidRPr="00D44AF3">
        <w:t xml:space="preserve">Intervencije sadržane u sektoru društvenog razvoja su usmjerene na dalje poboljšanje </w:t>
      </w:r>
      <w:r>
        <w:t>društvene</w:t>
      </w:r>
      <w:r w:rsidRPr="005901DA">
        <w:t xml:space="preserve"> i komunaln</w:t>
      </w:r>
      <w:r>
        <w:t>e</w:t>
      </w:r>
      <w:r w:rsidRPr="005901DA">
        <w:t xml:space="preserve"> infrastruktur</w:t>
      </w:r>
      <w:r>
        <w:t>e kao osnove za unapređenje usluga</w:t>
      </w:r>
      <w:r w:rsidRPr="00D44AF3">
        <w:t xml:space="preserve">, </w:t>
      </w:r>
      <w:r>
        <w:t xml:space="preserve">što će dati i </w:t>
      </w:r>
      <w:r w:rsidRPr="00D44AF3">
        <w:t xml:space="preserve">doprinos atraktivnosti </w:t>
      </w:r>
      <w:r>
        <w:t xml:space="preserve">opštine </w:t>
      </w:r>
      <w:r w:rsidR="00CF25E0">
        <w:t>Prnjavor</w:t>
      </w:r>
      <w:r w:rsidRPr="00D44AF3">
        <w:t xml:space="preserve"> kao lokacije pogodne za investiranje, te zaštiti životne sredine. Intervencije usmjerene na obogaćivanje sadržaja </w:t>
      </w:r>
      <w:r>
        <w:t>u oblasti sporta i kulture</w:t>
      </w:r>
      <w:r w:rsidRPr="00D44AF3">
        <w:t xml:space="preserve"> utiču na kvalitet života u lokalnoj zajednici</w:t>
      </w:r>
      <w:r>
        <w:t>,</w:t>
      </w:r>
      <w:r w:rsidR="00CF25E0">
        <w:t xml:space="preserve"> ali i omogućavaju očuvanje i promociju identiteta multietničke zajednice, a posebna pažnja je posvećena unapređenju odnosa sa dijasporom</w:t>
      </w:r>
      <w:r w:rsidRPr="00D44AF3">
        <w:t xml:space="preserve">. </w:t>
      </w:r>
    </w:p>
    <w:p w14:paraId="21BDAB2A" w14:textId="73A6A92E" w:rsidR="004F4EE7" w:rsidRDefault="004F4EE7" w:rsidP="004F4EE7">
      <w:pPr>
        <w:jc w:val="both"/>
      </w:pPr>
      <w:r w:rsidRPr="00D44AF3">
        <w:t xml:space="preserve">Sektorski plan zaštite životne sredine </w:t>
      </w:r>
      <w:r w:rsidR="00CF25E0">
        <w:t>uključuje</w:t>
      </w:r>
      <w:r>
        <w:t xml:space="preserve"> </w:t>
      </w:r>
      <w:r w:rsidR="00CF25E0">
        <w:t>unapređenj</w:t>
      </w:r>
      <w:r>
        <w:t>a u oblasti upravljanja otpadom, te potrebu za poboljšanjima u oblasti energetske efik</w:t>
      </w:r>
      <w:r w:rsidR="00CF25E0">
        <w:t xml:space="preserve">asnosti, ali i prisustvo rizika od elementarnih nepogoda, uz uspostavljanje kapaciteta za praćenje stanja u oblasti životne sredine. </w:t>
      </w:r>
    </w:p>
    <w:p w14:paraId="045C31AB" w14:textId="77777777" w:rsidR="004F4EE7" w:rsidRPr="00560A85" w:rsidRDefault="004F4EE7" w:rsidP="004F4EE7">
      <w:pPr>
        <w:rPr>
          <w:rFonts w:ascii="Myriad Pro" w:hAnsi="Myriad Pro"/>
          <w:b/>
          <w:color w:val="FF0000"/>
          <w:sz w:val="24"/>
          <w:szCs w:val="24"/>
          <w:lang w:val="bs-Latn-BA"/>
        </w:rPr>
      </w:pPr>
    </w:p>
    <w:p w14:paraId="5FEA2491" w14:textId="77777777" w:rsidR="004F4EE7" w:rsidRPr="00560A85" w:rsidRDefault="004F4EE7" w:rsidP="004F4EE7">
      <w:pPr>
        <w:pStyle w:val="Heading2"/>
      </w:pPr>
      <w:bookmarkStart w:id="15" w:name="_Toc298390154"/>
      <w:bookmarkStart w:id="16" w:name="_Toc488761238"/>
      <w:bookmarkStart w:id="17" w:name="_Toc496413378"/>
      <w:r w:rsidRPr="00560A85">
        <w:t>V.2.</w:t>
      </w:r>
      <w:r w:rsidRPr="00560A85">
        <w:tab/>
        <w:t>Plan lokalnog ekonomskog razvoja</w:t>
      </w:r>
      <w:bookmarkEnd w:id="15"/>
      <w:bookmarkEnd w:id="16"/>
      <w:bookmarkEnd w:id="17"/>
    </w:p>
    <w:p w14:paraId="3489B867" w14:textId="77777777" w:rsidR="004F4EE7" w:rsidRDefault="004F4EE7" w:rsidP="004F4EE7">
      <w:pPr>
        <w:rPr>
          <w:rFonts w:cstheme="minorHAnsi"/>
          <w:b/>
        </w:rPr>
      </w:pPr>
      <w:bookmarkStart w:id="18" w:name="_Toc298390155"/>
    </w:p>
    <w:p w14:paraId="22740636" w14:textId="3D95306F" w:rsidR="004F4EE7" w:rsidRPr="00D44AF3" w:rsidRDefault="004F4EE7" w:rsidP="004F4EE7">
      <w:pPr>
        <w:spacing w:after="100"/>
        <w:jc w:val="both"/>
      </w:pPr>
      <w:r w:rsidRPr="00D44AF3">
        <w:t xml:space="preserve">U izradi  Plana lokalnog ekonomskog razvoja je korištena revidirana i ažurirana SWOT analiza ekonomskog razvoja </w:t>
      </w:r>
      <w:r>
        <w:t xml:space="preserve">opštine </w:t>
      </w:r>
      <w:r w:rsidR="00CF25E0">
        <w:t>Prnjavor</w:t>
      </w:r>
      <w:r w:rsidRPr="00D44AF3">
        <w:t xml:space="preserve"> (data kao jedan od priloga), te relevantni nalazi provedenih analiza i stavovi ORT.</w:t>
      </w:r>
      <w:r w:rsidR="00CF25E0">
        <w:t xml:space="preserve"> </w:t>
      </w:r>
    </w:p>
    <w:p w14:paraId="581F0155" w14:textId="58C6E279" w:rsidR="004F4EE7" w:rsidRDefault="00CF25E0" w:rsidP="004F4EE7">
      <w:pPr>
        <w:jc w:val="both"/>
      </w:pPr>
      <w:r>
        <w:t>F</w:t>
      </w:r>
      <w:r w:rsidR="004F4EE7" w:rsidRPr="00D44AF3">
        <w:t>okusi ekonomskog razvoja za naredni period su:</w:t>
      </w:r>
    </w:p>
    <w:p w14:paraId="08C99DEC" w14:textId="5B85199E" w:rsidR="00CF25E0" w:rsidRPr="00911575" w:rsidRDefault="00CF25E0" w:rsidP="009901CE">
      <w:pPr>
        <w:pStyle w:val="ListParagraph"/>
        <w:numPr>
          <w:ilvl w:val="0"/>
          <w:numId w:val="20"/>
        </w:numPr>
        <w:spacing w:before="0" w:line="240" w:lineRule="auto"/>
        <w:jc w:val="left"/>
        <w:rPr>
          <w:rFonts w:cstheme="minorHAnsi"/>
          <w:bCs/>
          <w:iCs/>
          <w:lang w:val="sr-Latn-BA"/>
        </w:rPr>
      </w:pPr>
      <w:r>
        <w:rPr>
          <w:rFonts w:cstheme="minorHAnsi"/>
          <w:bCs/>
          <w:iCs/>
          <w:lang w:val="sr-Latn-BA"/>
        </w:rPr>
        <w:t>p</w:t>
      </w:r>
      <w:r w:rsidRPr="00911575">
        <w:rPr>
          <w:rFonts w:cstheme="minorHAnsi"/>
          <w:bCs/>
          <w:iCs/>
          <w:lang w:val="sr-Latn-BA"/>
        </w:rPr>
        <w:t>oboljšanje poslovne infrastrukture</w:t>
      </w:r>
      <w:r>
        <w:rPr>
          <w:rFonts w:cstheme="minorHAnsi"/>
          <w:bCs/>
          <w:iCs/>
          <w:lang w:val="sr-Latn-BA"/>
        </w:rPr>
        <w:t>,</w:t>
      </w:r>
    </w:p>
    <w:p w14:paraId="39BC2274" w14:textId="7661D11C" w:rsidR="00CF25E0" w:rsidRPr="00911575" w:rsidRDefault="00CF25E0" w:rsidP="009901CE">
      <w:pPr>
        <w:pStyle w:val="ListParagraph"/>
        <w:numPr>
          <w:ilvl w:val="0"/>
          <w:numId w:val="20"/>
        </w:numPr>
        <w:spacing w:before="0" w:line="240" w:lineRule="auto"/>
        <w:jc w:val="left"/>
        <w:rPr>
          <w:rFonts w:cstheme="minorHAnsi"/>
          <w:bCs/>
          <w:iCs/>
          <w:lang w:val="sr-Latn-BA"/>
        </w:rPr>
      </w:pPr>
      <w:r>
        <w:rPr>
          <w:rFonts w:cstheme="minorHAnsi"/>
          <w:bCs/>
          <w:iCs/>
          <w:lang w:val="sr-Latn-BA"/>
        </w:rPr>
        <w:t>u</w:t>
      </w:r>
      <w:r w:rsidRPr="00911575">
        <w:rPr>
          <w:rFonts w:cstheme="minorHAnsi"/>
          <w:bCs/>
          <w:iCs/>
          <w:lang w:val="sr-Latn-BA"/>
        </w:rPr>
        <w:t>napređenje kvaliteta radne snage</w:t>
      </w:r>
      <w:r>
        <w:rPr>
          <w:rFonts w:cstheme="minorHAnsi"/>
          <w:bCs/>
          <w:iCs/>
          <w:lang w:val="sr-Latn-BA"/>
        </w:rPr>
        <w:t>,</w:t>
      </w:r>
    </w:p>
    <w:p w14:paraId="01828D11" w14:textId="75F8CCC5" w:rsidR="00CF25E0" w:rsidRPr="00911575" w:rsidRDefault="00CF25E0" w:rsidP="009901CE">
      <w:pPr>
        <w:pStyle w:val="ListParagraph"/>
        <w:numPr>
          <w:ilvl w:val="0"/>
          <w:numId w:val="20"/>
        </w:numPr>
        <w:spacing w:before="0" w:line="240" w:lineRule="auto"/>
        <w:jc w:val="left"/>
        <w:rPr>
          <w:rFonts w:cstheme="minorHAnsi"/>
          <w:bCs/>
          <w:iCs/>
          <w:lang w:val="sr-Latn-BA"/>
        </w:rPr>
      </w:pPr>
      <w:r>
        <w:rPr>
          <w:rFonts w:cstheme="minorHAnsi"/>
          <w:bCs/>
          <w:iCs/>
          <w:lang w:val="sr-Latn-BA"/>
        </w:rPr>
        <w:t>j</w:t>
      </w:r>
      <w:r w:rsidRPr="00911575">
        <w:rPr>
          <w:rFonts w:cstheme="minorHAnsi"/>
          <w:bCs/>
          <w:iCs/>
          <w:lang w:val="sr-Latn-BA"/>
        </w:rPr>
        <w:t>ačanje kapaciteta u poljoprivredi</w:t>
      </w:r>
      <w:r>
        <w:rPr>
          <w:rFonts w:cstheme="minorHAnsi"/>
          <w:bCs/>
          <w:iCs/>
          <w:lang w:val="sr-Latn-BA"/>
        </w:rPr>
        <w:t>,</w:t>
      </w:r>
    </w:p>
    <w:p w14:paraId="173658B1" w14:textId="60F5C387" w:rsidR="004F4EE7" w:rsidRPr="00CF25E0" w:rsidRDefault="00CF25E0" w:rsidP="009901CE">
      <w:pPr>
        <w:pStyle w:val="ListParagraph"/>
        <w:numPr>
          <w:ilvl w:val="0"/>
          <w:numId w:val="20"/>
        </w:numPr>
        <w:spacing w:before="0" w:line="240" w:lineRule="auto"/>
        <w:jc w:val="left"/>
        <w:rPr>
          <w:rFonts w:cstheme="minorHAnsi"/>
          <w:bCs/>
          <w:iCs/>
          <w:lang w:val="sr-Latn-BA"/>
        </w:rPr>
      </w:pPr>
      <w:r>
        <w:rPr>
          <w:rFonts w:cstheme="minorHAnsi"/>
          <w:bCs/>
          <w:iCs/>
          <w:lang w:val="sr-Latn-BA"/>
        </w:rPr>
        <w:t>p</w:t>
      </w:r>
      <w:r w:rsidRPr="00911575">
        <w:rPr>
          <w:rFonts w:cstheme="minorHAnsi"/>
          <w:bCs/>
          <w:iCs/>
          <w:lang w:val="sr-Latn-BA"/>
        </w:rPr>
        <w:t>ovećanje stepena korištenja turističkih potencijala</w:t>
      </w:r>
      <w:r w:rsidR="004F4EE7" w:rsidRPr="00CF25E0">
        <w:rPr>
          <w:rFonts w:cstheme="minorHAnsi"/>
          <w:bCs/>
          <w:iCs/>
          <w:lang w:val="sr-Latn-BA"/>
        </w:rPr>
        <w:t>.</w:t>
      </w:r>
    </w:p>
    <w:p w14:paraId="1AF54F60" w14:textId="77777777" w:rsidR="004F4EE7" w:rsidRPr="00560A85" w:rsidRDefault="004F4EE7" w:rsidP="004F4EE7">
      <w:pPr>
        <w:pStyle w:val="Heading3"/>
      </w:pPr>
      <w:bookmarkStart w:id="19" w:name="_Toc488761239"/>
      <w:bookmarkStart w:id="20" w:name="_Toc496413379"/>
      <w:bookmarkEnd w:id="18"/>
      <w:r w:rsidRPr="00560A85">
        <w:t>V.2.1.</w:t>
      </w:r>
      <w:r w:rsidRPr="00560A85">
        <w:tab/>
        <w:t>Pregled sektorskih ciljeva sa očekivanim ishodima i indikatorima</w:t>
      </w:r>
      <w:bookmarkEnd w:id="19"/>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3685"/>
        <w:gridCol w:w="2976"/>
      </w:tblGrid>
      <w:tr w:rsidR="004F4EE7" w:rsidRPr="00274ED0" w14:paraId="481551EA" w14:textId="77777777" w:rsidTr="00230CC3">
        <w:tc>
          <w:tcPr>
            <w:tcW w:w="2689" w:type="dxa"/>
            <w:shd w:val="clear" w:color="auto" w:fill="C6D9F1"/>
          </w:tcPr>
          <w:p w14:paraId="4FF2DDE1" w14:textId="77777777" w:rsidR="004F4EE7" w:rsidRPr="00274ED0" w:rsidRDefault="004F4EE7" w:rsidP="00274ED0">
            <w:pPr>
              <w:rPr>
                <w:rFonts w:asciiTheme="minorHAnsi" w:hAnsiTheme="minorHAnsi" w:cstheme="minorHAnsi"/>
                <w:b/>
                <w:lang w:val="bs-Latn-BA"/>
              </w:rPr>
            </w:pPr>
            <w:r w:rsidRPr="00274ED0">
              <w:rPr>
                <w:rFonts w:asciiTheme="minorHAnsi" w:hAnsiTheme="minorHAnsi" w:cstheme="minorHAnsi"/>
                <w:b/>
                <w:lang w:val="bs-Latn-BA"/>
              </w:rPr>
              <w:t>Sektorski cilj</w:t>
            </w:r>
          </w:p>
        </w:tc>
        <w:tc>
          <w:tcPr>
            <w:tcW w:w="3685" w:type="dxa"/>
            <w:shd w:val="clear" w:color="auto" w:fill="C6D9F1"/>
          </w:tcPr>
          <w:p w14:paraId="3336EFEF" w14:textId="77777777" w:rsidR="004F4EE7" w:rsidRPr="00274ED0" w:rsidRDefault="004F4EE7" w:rsidP="000B6E58">
            <w:pPr>
              <w:rPr>
                <w:rFonts w:asciiTheme="minorHAnsi" w:hAnsiTheme="minorHAnsi" w:cstheme="minorHAnsi"/>
                <w:b/>
                <w:lang w:val="bs-Latn-BA"/>
              </w:rPr>
            </w:pPr>
            <w:r w:rsidRPr="00274ED0">
              <w:rPr>
                <w:rFonts w:asciiTheme="minorHAnsi" w:hAnsiTheme="minorHAnsi" w:cstheme="minorHAnsi"/>
                <w:b/>
                <w:lang w:val="bs-Latn-BA"/>
              </w:rPr>
              <w:t>Očekivani ishod</w:t>
            </w:r>
          </w:p>
        </w:tc>
        <w:tc>
          <w:tcPr>
            <w:tcW w:w="2976" w:type="dxa"/>
            <w:shd w:val="clear" w:color="auto" w:fill="C6D9F1"/>
          </w:tcPr>
          <w:p w14:paraId="5D9F6C94" w14:textId="77777777" w:rsidR="004F4EE7" w:rsidRPr="00274ED0" w:rsidRDefault="004F4EE7" w:rsidP="000B6E58">
            <w:pPr>
              <w:rPr>
                <w:rFonts w:asciiTheme="minorHAnsi" w:hAnsiTheme="minorHAnsi" w:cstheme="minorHAnsi"/>
                <w:b/>
                <w:lang w:val="bs-Latn-BA"/>
              </w:rPr>
            </w:pPr>
            <w:r w:rsidRPr="00274ED0">
              <w:rPr>
                <w:rFonts w:asciiTheme="minorHAnsi" w:hAnsiTheme="minorHAnsi" w:cstheme="minorHAnsi"/>
                <w:b/>
                <w:lang w:val="bs-Latn-BA"/>
              </w:rPr>
              <w:t>Indikator</w:t>
            </w:r>
          </w:p>
        </w:tc>
      </w:tr>
      <w:tr w:rsidR="004F4EE7" w:rsidRPr="00274ED0" w14:paraId="74D6EFE1" w14:textId="77777777" w:rsidTr="00230CC3">
        <w:tc>
          <w:tcPr>
            <w:tcW w:w="2689" w:type="dxa"/>
          </w:tcPr>
          <w:p w14:paraId="74F46A47" w14:textId="22E4D225" w:rsidR="004F4EE7" w:rsidRPr="00274ED0" w:rsidRDefault="00230CC3" w:rsidP="00274ED0">
            <w:pPr>
              <w:spacing w:after="100"/>
              <w:rPr>
                <w:rFonts w:asciiTheme="minorHAnsi" w:hAnsiTheme="minorHAnsi" w:cstheme="minorHAnsi"/>
                <w:b/>
                <w:bCs/>
                <w:color w:val="FF0000"/>
                <w:lang w:val="it-IT"/>
              </w:rPr>
            </w:pPr>
            <w:r w:rsidRPr="00274ED0">
              <w:rPr>
                <w:rFonts w:asciiTheme="minorHAnsi" w:hAnsiTheme="minorHAnsi" w:cstheme="minorHAnsi"/>
                <w:b/>
              </w:rPr>
              <w:t>1.1. Poboljšani uslovi poslovanja unapređenjem infrastrukture i kvaliteta radne snage do 2020. godine</w:t>
            </w:r>
          </w:p>
        </w:tc>
        <w:tc>
          <w:tcPr>
            <w:tcW w:w="3685" w:type="dxa"/>
          </w:tcPr>
          <w:p w14:paraId="4ED52FE2" w14:textId="77777777" w:rsidR="00230CC3" w:rsidRPr="00274ED0" w:rsidRDefault="00230CC3" w:rsidP="009901CE">
            <w:pPr>
              <w:numPr>
                <w:ilvl w:val="0"/>
                <w:numId w:val="15"/>
              </w:numPr>
              <w:tabs>
                <w:tab w:val="clear" w:pos="1080"/>
              </w:tabs>
              <w:ind w:left="173" w:firstLine="0"/>
              <w:jc w:val="both"/>
              <w:rPr>
                <w:rFonts w:asciiTheme="minorHAnsi" w:hAnsiTheme="minorHAnsi" w:cstheme="minorHAnsi"/>
                <w:noProof/>
                <w:lang w:val="hr-HR"/>
              </w:rPr>
            </w:pPr>
            <w:r w:rsidRPr="00274ED0">
              <w:rPr>
                <w:rFonts w:asciiTheme="minorHAnsi" w:hAnsiTheme="minorHAnsi" w:cstheme="minorHAnsi"/>
                <w:noProof/>
                <w:lang w:val="hr-HR"/>
              </w:rPr>
              <w:t>Najmanje 5 novih investicija do 2020. godine, od toga najmanje jedna ostvarena kroz saradnju sa dijasporom</w:t>
            </w:r>
          </w:p>
          <w:p w14:paraId="639ACE76" w14:textId="5B700CCF" w:rsidR="00230CC3" w:rsidRPr="00274ED0" w:rsidRDefault="00230CC3" w:rsidP="009901CE">
            <w:pPr>
              <w:numPr>
                <w:ilvl w:val="0"/>
                <w:numId w:val="15"/>
              </w:numPr>
              <w:tabs>
                <w:tab w:val="clear" w:pos="1080"/>
              </w:tabs>
              <w:ind w:left="173" w:firstLine="0"/>
              <w:jc w:val="both"/>
              <w:rPr>
                <w:rFonts w:asciiTheme="minorHAnsi" w:hAnsiTheme="minorHAnsi" w:cstheme="minorHAnsi"/>
                <w:noProof/>
                <w:lang w:val="hr-HR"/>
              </w:rPr>
            </w:pPr>
            <w:r w:rsidRPr="00274ED0">
              <w:rPr>
                <w:rFonts w:asciiTheme="minorHAnsi" w:hAnsiTheme="minorHAnsi" w:cstheme="minorHAnsi"/>
                <w:noProof/>
                <w:lang w:val="hr-HR"/>
              </w:rPr>
              <w:t xml:space="preserve">Broj privrednih subjekata povećan za 5% do 2020. godine u odnosu na 2017. </w:t>
            </w:r>
          </w:p>
          <w:p w14:paraId="44EF6B25" w14:textId="77777777" w:rsidR="00230CC3" w:rsidRPr="00274ED0" w:rsidRDefault="00230CC3" w:rsidP="009901CE">
            <w:pPr>
              <w:numPr>
                <w:ilvl w:val="0"/>
                <w:numId w:val="15"/>
              </w:numPr>
              <w:tabs>
                <w:tab w:val="clear" w:pos="1080"/>
              </w:tabs>
              <w:ind w:left="173" w:firstLine="0"/>
              <w:jc w:val="both"/>
              <w:rPr>
                <w:rFonts w:asciiTheme="minorHAnsi" w:hAnsiTheme="minorHAnsi" w:cstheme="minorHAnsi"/>
                <w:noProof/>
                <w:lang w:val="hr-HR"/>
              </w:rPr>
            </w:pPr>
            <w:r w:rsidRPr="00274ED0">
              <w:rPr>
                <w:rFonts w:asciiTheme="minorHAnsi" w:hAnsiTheme="minorHAnsi" w:cstheme="minorHAnsi"/>
                <w:noProof/>
                <w:lang w:val="hr-HR"/>
              </w:rPr>
              <w:t xml:space="preserve">Najmanje 50% polaznika praktičnih obuka i prekvalifikacije zaposleno u roku od godinu dana po završetku programa </w:t>
            </w:r>
          </w:p>
          <w:p w14:paraId="2FEE41F5" w14:textId="77777777" w:rsidR="00230CC3" w:rsidRPr="00274ED0" w:rsidRDefault="00230CC3" w:rsidP="009901CE">
            <w:pPr>
              <w:numPr>
                <w:ilvl w:val="0"/>
                <w:numId w:val="15"/>
              </w:numPr>
              <w:tabs>
                <w:tab w:val="clear" w:pos="1080"/>
              </w:tabs>
              <w:ind w:left="173" w:firstLine="0"/>
              <w:jc w:val="both"/>
              <w:rPr>
                <w:rFonts w:asciiTheme="minorHAnsi" w:hAnsiTheme="minorHAnsi" w:cstheme="minorHAnsi"/>
                <w:noProof/>
                <w:lang w:val="hr-HR"/>
              </w:rPr>
            </w:pPr>
            <w:r w:rsidRPr="00274ED0">
              <w:rPr>
                <w:rFonts w:asciiTheme="minorHAnsi" w:hAnsiTheme="minorHAnsi" w:cstheme="minorHAnsi"/>
                <w:noProof/>
                <w:lang w:val="hr-HR"/>
              </w:rPr>
              <w:lastRenderedPageBreak/>
              <w:t>Najmanje 5 preduzeća unaprijedilo kvalitet radne snage do 2020. godine u odnosu na 2017. godinu</w:t>
            </w:r>
          </w:p>
          <w:p w14:paraId="4E197C5B" w14:textId="626533D6" w:rsidR="004F4EE7" w:rsidRPr="00274ED0" w:rsidRDefault="00230CC3" w:rsidP="009901CE">
            <w:pPr>
              <w:numPr>
                <w:ilvl w:val="0"/>
                <w:numId w:val="15"/>
              </w:numPr>
              <w:tabs>
                <w:tab w:val="clear" w:pos="1080"/>
              </w:tabs>
              <w:ind w:left="173" w:firstLine="0"/>
              <w:jc w:val="both"/>
              <w:rPr>
                <w:rFonts w:asciiTheme="minorHAnsi" w:hAnsiTheme="minorHAnsi" w:cstheme="minorHAnsi"/>
                <w:color w:val="FF0000"/>
                <w:lang w:val="bs-Latn-BA"/>
              </w:rPr>
            </w:pPr>
            <w:r w:rsidRPr="00274ED0">
              <w:rPr>
                <w:rFonts w:asciiTheme="minorHAnsi" w:hAnsiTheme="minorHAnsi" w:cstheme="minorHAnsi"/>
                <w:noProof/>
                <w:lang w:val="hr-HR"/>
              </w:rPr>
              <w:t>Najmanje 3 preduzeća povećalo stepen korištenja obnovljivih izvora energije i najmanje 5 preduzeća unaprijedilo energetsku efikasnost do 2020. u odnosu na 2017. godinu</w:t>
            </w:r>
          </w:p>
        </w:tc>
        <w:tc>
          <w:tcPr>
            <w:tcW w:w="2976" w:type="dxa"/>
          </w:tcPr>
          <w:p w14:paraId="4A71F69E" w14:textId="77777777" w:rsidR="004F4EE7" w:rsidRPr="00274ED0" w:rsidRDefault="00230CC3" w:rsidP="009901CE">
            <w:pPr>
              <w:numPr>
                <w:ilvl w:val="0"/>
                <w:numId w:val="15"/>
              </w:numPr>
              <w:tabs>
                <w:tab w:val="clear" w:pos="1080"/>
              </w:tabs>
              <w:spacing w:before="60"/>
              <w:ind w:left="260" w:hanging="284"/>
              <w:rPr>
                <w:rFonts w:asciiTheme="minorHAnsi" w:hAnsiTheme="minorHAnsi" w:cstheme="minorHAnsi"/>
                <w:color w:val="FF0000"/>
                <w:lang w:val="bs-Latn-BA"/>
              </w:rPr>
            </w:pPr>
            <w:r w:rsidRPr="00274ED0">
              <w:rPr>
                <w:rFonts w:asciiTheme="minorHAnsi" w:hAnsiTheme="minorHAnsi" w:cstheme="minorHAnsi"/>
                <w:noProof/>
                <w:lang w:val="hr-HR"/>
              </w:rPr>
              <w:lastRenderedPageBreak/>
              <w:t>Broj novih investicija i broj investicija ostvarenih kroz saradnju sa dijasporom</w:t>
            </w:r>
          </w:p>
          <w:p w14:paraId="2660EC4D" w14:textId="77777777" w:rsidR="00230CC3" w:rsidRPr="00274ED0" w:rsidRDefault="00230CC3" w:rsidP="009901CE">
            <w:pPr>
              <w:numPr>
                <w:ilvl w:val="0"/>
                <w:numId w:val="15"/>
              </w:numPr>
              <w:tabs>
                <w:tab w:val="clear" w:pos="1080"/>
              </w:tabs>
              <w:spacing w:before="60"/>
              <w:ind w:left="260" w:hanging="284"/>
              <w:rPr>
                <w:rFonts w:asciiTheme="minorHAnsi" w:hAnsiTheme="minorHAnsi" w:cstheme="minorHAnsi"/>
                <w:color w:val="FF0000"/>
                <w:lang w:val="bs-Latn-BA"/>
              </w:rPr>
            </w:pPr>
            <w:r w:rsidRPr="00274ED0">
              <w:rPr>
                <w:rFonts w:asciiTheme="minorHAnsi" w:hAnsiTheme="minorHAnsi" w:cstheme="minorHAnsi"/>
                <w:noProof/>
                <w:lang w:val="hr-HR"/>
              </w:rPr>
              <w:t>Broj privrednih subjekata</w:t>
            </w:r>
          </w:p>
          <w:p w14:paraId="1E119B5C" w14:textId="77777777" w:rsidR="00230CC3" w:rsidRPr="00274ED0" w:rsidRDefault="00230CC3" w:rsidP="009901CE">
            <w:pPr>
              <w:numPr>
                <w:ilvl w:val="0"/>
                <w:numId w:val="15"/>
              </w:numPr>
              <w:tabs>
                <w:tab w:val="clear" w:pos="1080"/>
              </w:tabs>
              <w:spacing w:before="60"/>
              <w:ind w:left="260" w:hanging="284"/>
              <w:rPr>
                <w:rFonts w:asciiTheme="minorHAnsi" w:hAnsiTheme="minorHAnsi" w:cstheme="minorHAnsi"/>
                <w:color w:val="FF0000"/>
                <w:lang w:val="bs-Latn-BA"/>
              </w:rPr>
            </w:pPr>
            <w:r w:rsidRPr="00274ED0">
              <w:rPr>
                <w:rFonts w:asciiTheme="minorHAnsi" w:hAnsiTheme="minorHAnsi" w:cstheme="minorHAnsi"/>
                <w:noProof/>
                <w:lang w:val="hr-HR"/>
              </w:rPr>
              <w:t xml:space="preserve">Broj zaposlenih polaznika praktičnih obuka i prekvalifikacije </w:t>
            </w:r>
          </w:p>
          <w:p w14:paraId="0E2F5ADD" w14:textId="77777777" w:rsidR="00230CC3" w:rsidRPr="00274ED0" w:rsidRDefault="00230CC3" w:rsidP="009901CE">
            <w:pPr>
              <w:numPr>
                <w:ilvl w:val="0"/>
                <w:numId w:val="15"/>
              </w:numPr>
              <w:tabs>
                <w:tab w:val="clear" w:pos="1080"/>
              </w:tabs>
              <w:spacing w:before="60"/>
              <w:ind w:left="260" w:hanging="284"/>
              <w:rPr>
                <w:rFonts w:asciiTheme="minorHAnsi" w:hAnsiTheme="minorHAnsi" w:cstheme="minorHAnsi"/>
                <w:color w:val="FF0000"/>
                <w:lang w:val="bs-Latn-BA"/>
              </w:rPr>
            </w:pPr>
            <w:r w:rsidRPr="00274ED0">
              <w:rPr>
                <w:rFonts w:asciiTheme="minorHAnsi" w:hAnsiTheme="minorHAnsi" w:cstheme="minorHAnsi"/>
                <w:noProof/>
                <w:lang w:val="hr-HR"/>
              </w:rPr>
              <w:t>Broj preduzeća koja su unaprijedila kvalitet radne snage</w:t>
            </w:r>
          </w:p>
          <w:p w14:paraId="09574AA2" w14:textId="0A656C9E" w:rsidR="00230CC3" w:rsidRPr="00274ED0" w:rsidRDefault="00230CC3" w:rsidP="009901CE">
            <w:pPr>
              <w:numPr>
                <w:ilvl w:val="0"/>
                <w:numId w:val="15"/>
              </w:numPr>
              <w:tabs>
                <w:tab w:val="clear" w:pos="1080"/>
              </w:tabs>
              <w:spacing w:before="60"/>
              <w:ind w:left="260" w:hanging="284"/>
              <w:rPr>
                <w:rFonts w:asciiTheme="minorHAnsi" w:hAnsiTheme="minorHAnsi" w:cstheme="minorHAnsi"/>
                <w:color w:val="FF0000"/>
                <w:lang w:val="bs-Latn-BA"/>
              </w:rPr>
            </w:pPr>
            <w:r w:rsidRPr="00274ED0">
              <w:rPr>
                <w:rFonts w:asciiTheme="minorHAnsi" w:hAnsiTheme="minorHAnsi" w:cstheme="minorHAnsi"/>
                <w:noProof/>
                <w:lang w:val="hr-HR"/>
              </w:rPr>
              <w:lastRenderedPageBreak/>
              <w:t xml:space="preserve">Broj preduzeća </w:t>
            </w:r>
            <w:r w:rsidR="00642951" w:rsidRPr="00274ED0">
              <w:rPr>
                <w:rFonts w:asciiTheme="minorHAnsi" w:hAnsiTheme="minorHAnsi" w:cstheme="minorHAnsi"/>
                <w:noProof/>
                <w:lang w:val="hr-HR"/>
              </w:rPr>
              <w:t>koja koriste obnovljive</w:t>
            </w:r>
            <w:r w:rsidRPr="00274ED0">
              <w:rPr>
                <w:rFonts w:asciiTheme="minorHAnsi" w:hAnsiTheme="minorHAnsi" w:cstheme="minorHAnsi"/>
                <w:noProof/>
                <w:lang w:val="hr-HR"/>
              </w:rPr>
              <w:t xml:space="preserve"> izvor</w:t>
            </w:r>
            <w:r w:rsidR="00642951" w:rsidRPr="00274ED0">
              <w:rPr>
                <w:rFonts w:asciiTheme="minorHAnsi" w:hAnsiTheme="minorHAnsi" w:cstheme="minorHAnsi"/>
                <w:noProof/>
                <w:lang w:val="hr-HR"/>
              </w:rPr>
              <w:t>e</w:t>
            </w:r>
            <w:r w:rsidRPr="00274ED0">
              <w:rPr>
                <w:rFonts w:asciiTheme="minorHAnsi" w:hAnsiTheme="minorHAnsi" w:cstheme="minorHAnsi"/>
                <w:noProof/>
                <w:lang w:val="hr-HR"/>
              </w:rPr>
              <w:t xml:space="preserve"> energije i preduzeća </w:t>
            </w:r>
            <w:r w:rsidR="00642951" w:rsidRPr="00274ED0">
              <w:rPr>
                <w:rFonts w:asciiTheme="minorHAnsi" w:hAnsiTheme="minorHAnsi" w:cstheme="minorHAnsi"/>
                <w:noProof/>
                <w:lang w:val="hr-HR"/>
              </w:rPr>
              <w:t>koja su unaprijedila</w:t>
            </w:r>
            <w:r w:rsidRPr="00274ED0">
              <w:rPr>
                <w:rFonts w:asciiTheme="minorHAnsi" w:hAnsiTheme="minorHAnsi" w:cstheme="minorHAnsi"/>
                <w:noProof/>
                <w:lang w:val="hr-HR"/>
              </w:rPr>
              <w:t xml:space="preserve"> energetsku efikasnost</w:t>
            </w:r>
          </w:p>
        </w:tc>
      </w:tr>
      <w:tr w:rsidR="004F4EE7" w:rsidRPr="00274ED0" w14:paraId="158BDC56" w14:textId="77777777" w:rsidTr="00230CC3">
        <w:tc>
          <w:tcPr>
            <w:tcW w:w="2689" w:type="dxa"/>
          </w:tcPr>
          <w:p w14:paraId="74BD926E" w14:textId="75CE4F93" w:rsidR="004F4EE7" w:rsidRPr="00274ED0" w:rsidRDefault="00642951" w:rsidP="00274ED0">
            <w:pPr>
              <w:spacing w:after="100"/>
              <w:rPr>
                <w:rFonts w:asciiTheme="minorHAnsi" w:hAnsiTheme="minorHAnsi" w:cstheme="minorHAnsi"/>
                <w:smallCaps/>
                <w:color w:val="FF0000"/>
                <w:lang w:val="en-US"/>
              </w:rPr>
            </w:pPr>
            <w:r w:rsidRPr="00274ED0">
              <w:rPr>
                <w:rFonts w:asciiTheme="minorHAnsi" w:hAnsiTheme="minorHAnsi" w:cstheme="minorHAnsi"/>
                <w:b/>
              </w:rPr>
              <w:lastRenderedPageBreak/>
              <w:t>1.2. Unapređeni kapaciteti u poljoprivrednoj proizvodnji do 2020. godine</w:t>
            </w:r>
          </w:p>
        </w:tc>
        <w:tc>
          <w:tcPr>
            <w:tcW w:w="3685" w:type="dxa"/>
          </w:tcPr>
          <w:p w14:paraId="7AE64606" w14:textId="77777777" w:rsidR="00642951" w:rsidRPr="00274ED0" w:rsidRDefault="00642951" w:rsidP="009901CE">
            <w:pPr>
              <w:numPr>
                <w:ilvl w:val="0"/>
                <w:numId w:val="15"/>
              </w:numPr>
              <w:tabs>
                <w:tab w:val="clear" w:pos="1080"/>
              </w:tabs>
              <w:ind w:left="173" w:firstLine="0"/>
              <w:jc w:val="both"/>
              <w:rPr>
                <w:rFonts w:asciiTheme="minorHAnsi" w:hAnsiTheme="minorHAnsi" w:cstheme="minorHAnsi"/>
                <w:noProof/>
                <w:lang w:val="hr-HR"/>
              </w:rPr>
            </w:pPr>
            <w:r w:rsidRPr="00274ED0">
              <w:rPr>
                <w:rFonts w:asciiTheme="minorHAnsi" w:hAnsiTheme="minorHAnsi" w:cstheme="minorHAnsi"/>
                <w:noProof/>
                <w:lang w:val="hr-HR"/>
              </w:rPr>
              <w:t>Otvoreno 15 novih radnih mjesta u poljoprivredi do kraja 2020. godine</w:t>
            </w:r>
          </w:p>
          <w:p w14:paraId="6F194CD0" w14:textId="77777777" w:rsidR="00642951" w:rsidRPr="00274ED0" w:rsidRDefault="00642951" w:rsidP="009901CE">
            <w:pPr>
              <w:numPr>
                <w:ilvl w:val="0"/>
                <w:numId w:val="15"/>
              </w:numPr>
              <w:tabs>
                <w:tab w:val="clear" w:pos="1080"/>
              </w:tabs>
              <w:ind w:left="173" w:firstLine="0"/>
              <w:jc w:val="both"/>
              <w:rPr>
                <w:rFonts w:asciiTheme="minorHAnsi" w:hAnsiTheme="minorHAnsi" w:cstheme="minorHAnsi"/>
                <w:noProof/>
                <w:lang w:val="hr-HR"/>
              </w:rPr>
            </w:pPr>
            <w:r w:rsidRPr="00274ED0">
              <w:rPr>
                <w:rFonts w:asciiTheme="minorHAnsi" w:hAnsiTheme="minorHAnsi" w:cstheme="minorHAnsi"/>
                <w:noProof/>
                <w:lang w:val="hr-HR"/>
              </w:rPr>
              <w:t xml:space="preserve">Najmanje 50% poljoprivrednih proizvoda proizvedenih na području Opštine Prnjavor se plasira na tržište do 2020. godine </w:t>
            </w:r>
          </w:p>
          <w:p w14:paraId="38A4B27C" w14:textId="77777777" w:rsidR="00642951" w:rsidRPr="00274ED0" w:rsidRDefault="00642951" w:rsidP="009901CE">
            <w:pPr>
              <w:numPr>
                <w:ilvl w:val="0"/>
                <w:numId w:val="15"/>
              </w:numPr>
              <w:tabs>
                <w:tab w:val="clear" w:pos="1080"/>
              </w:tabs>
              <w:ind w:left="173" w:firstLine="0"/>
              <w:jc w:val="both"/>
              <w:rPr>
                <w:rFonts w:asciiTheme="minorHAnsi" w:hAnsiTheme="minorHAnsi" w:cstheme="minorHAnsi"/>
                <w:noProof/>
                <w:lang w:val="hr-HR"/>
              </w:rPr>
            </w:pPr>
            <w:r w:rsidRPr="00274ED0">
              <w:rPr>
                <w:rFonts w:asciiTheme="minorHAnsi" w:hAnsiTheme="minorHAnsi" w:cstheme="minorHAnsi"/>
                <w:noProof/>
                <w:lang w:val="hr-HR"/>
              </w:rPr>
              <w:t>Do 2020. godini povećan  nivo poljoprivredne proizvodnje (obrađene površine, broj stabala, stočni fond) za najmanje 10% u odnosu na 2017. godinu</w:t>
            </w:r>
          </w:p>
          <w:p w14:paraId="608DCE1B" w14:textId="216020AE" w:rsidR="004F4EE7" w:rsidRPr="00274ED0" w:rsidRDefault="00642951" w:rsidP="009901CE">
            <w:pPr>
              <w:numPr>
                <w:ilvl w:val="0"/>
                <w:numId w:val="15"/>
              </w:numPr>
              <w:tabs>
                <w:tab w:val="clear" w:pos="1080"/>
              </w:tabs>
              <w:ind w:left="173" w:firstLine="0"/>
              <w:jc w:val="both"/>
              <w:rPr>
                <w:rFonts w:asciiTheme="minorHAnsi" w:hAnsiTheme="minorHAnsi" w:cstheme="minorHAnsi"/>
                <w:lang w:val="bs-Latn-BA"/>
              </w:rPr>
            </w:pPr>
            <w:r w:rsidRPr="00274ED0">
              <w:rPr>
                <w:rFonts w:asciiTheme="minorHAnsi" w:hAnsiTheme="minorHAnsi" w:cstheme="minorHAnsi"/>
                <w:noProof/>
                <w:lang w:val="hr-HR"/>
              </w:rPr>
              <w:t>Rast prihoda registrovanih poljoprivrednih gazdinstava od najmanje 5% do 2020. godine u odnosu na 2017. godinu</w:t>
            </w:r>
          </w:p>
        </w:tc>
        <w:tc>
          <w:tcPr>
            <w:tcW w:w="2976" w:type="dxa"/>
          </w:tcPr>
          <w:p w14:paraId="181A9EE0" w14:textId="77777777" w:rsidR="004F4EE7" w:rsidRPr="00274ED0" w:rsidRDefault="00642951" w:rsidP="009901CE">
            <w:pPr>
              <w:numPr>
                <w:ilvl w:val="0"/>
                <w:numId w:val="15"/>
              </w:numPr>
              <w:tabs>
                <w:tab w:val="clear" w:pos="1080"/>
              </w:tabs>
              <w:spacing w:before="60"/>
              <w:ind w:left="260" w:hanging="284"/>
              <w:rPr>
                <w:rFonts w:asciiTheme="minorHAnsi" w:hAnsiTheme="minorHAnsi" w:cstheme="minorHAnsi"/>
                <w:lang w:val="bs-Latn-BA"/>
              </w:rPr>
            </w:pPr>
            <w:r w:rsidRPr="00274ED0">
              <w:rPr>
                <w:rFonts w:asciiTheme="minorHAnsi" w:hAnsiTheme="minorHAnsi" w:cstheme="minorHAnsi"/>
                <w:noProof/>
                <w:lang w:val="hr-HR"/>
              </w:rPr>
              <w:t>Broj novih radnih mjesta u poljoprivredi</w:t>
            </w:r>
          </w:p>
          <w:p w14:paraId="04B6986A" w14:textId="77777777" w:rsidR="00642951" w:rsidRPr="00274ED0" w:rsidRDefault="00642951" w:rsidP="009901CE">
            <w:pPr>
              <w:numPr>
                <w:ilvl w:val="0"/>
                <w:numId w:val="15"/>
              </w:numPr>
              <w:tabs>
                <w:tab w:val="clear" w:pos="1080"/>
              </w:tabs>
              <w:spacing w:before="60"/>
              <w:ind w:left="260" w:hanging="284"/>
              <w:rPr>
                <w:rFonts w:asciiTheme="minorHAnsi" w:hAnsiTheme="minorHAnsi" w:cstheme="minorHAnsi"/>
                <w:lang w:val="bs-Latn-BA"/>
              </w:rPr>
            </w:pPr>
            <w:r w:rsidRPr="00274ED0">
              <w:rPr>
                <w:rFonts w:asciiTheme="minorHAnsi" w:hAnsiTheme="minorHAnsi" w:cstheme="minorHAnsi"/>
                <w:noProof/>
                <w:lang w:val="hr-HR"/>
              </w:rPr>
              <w:t>Količina poljoprivrednih proizvoda proizvedenih na području Opštine Prnjavor koja se plasira na tržište</w:t>
            </w:r>
          </w:p>
          <w:p w14:paraId="52A053F2" w14:textId="77777777" w:rsidR="00642951" w:rsidRPr="00274ED0" w:rsidRDefault="00642951" w:rsidP="009901CE">
            <w:pPr>
              <w:numPr>
                <w:ilvl w:val="0"/>
                <w:numId w:val="15"/>
              </w:numPr>
              <w:tabs>
                <w:tab w:val="clear" w:pos="1080"/>
              </w:tabs>
              <w:spacing w:before="60"/>
              <w:ind w:left="260" w:hanging="284"/>
              <w:rPr>
                <w:rFonts w:asciiTheme="minorHAnsi" w:hAnsiTheme="minorHAnsi" w:cstheme="minorHAnsi"/>
                <w:lang w:val="bs-Latn-BA"/>
              </w:rPr>
            </w:pPr>
            <w:r w:rsidRPr="00274ED0">
              <w:rPr>
                <w:rFonts w:asciiTheme="minorHAnsi" w:hAnsiTheme="minorHAnsi" w:cstheme="minorHAnsi"/>
                <w:noProof/>
                <w:lang w:val="hr-HR"/>
              </w:rPr>
              <w:t>Količine poljoprivredne proizvodnje (obrađene površine, broj stabala, stočni fond)</w:t>
            </w:r>
          </w:p>
          <w:p w14:paraId="29008F72" w14:textId="7A4A9126" w:rsidR="00642951" w:rsidRPr="00274ED0" w:rsidRDefault="00642951" w:rsidP="009901CE">
            <w:pPr>
              <w:numPr>
                <w:ilvl w:val="0"/>
                <w:numId w:val="15"/>
              </w:numPr>
              <w:tabs>
                <w:tab w:val="clear" w:pos="1080"/>
              </w:tabs>
              <w:spacing w:before="60"/>
              <w:ind w:left="260" w:hanging="284"/>
              <w:rPr>
                <w:rFonts w:asciiTheme="minorHAnsi" w:hAnsiTheme="minorHAnsi" w:cstheme="minorHAnsi"/>
                <w:lang w:val="bs-Latn-BA"/>
              </w:rPr>
            </w:pPr>
            <w:r w:rsidRPr="00274ED0">
              <w:rPr>
                <w:rFonts w:asciiTheme="minorHAnsi" w:hAnsiTheme="minorHAnsi" w:cstheme="minorHAnsi"/>
                <w:noProof/>
                <w:lang w:val="hr-HR"/>
              </w:rPr>
              <w:t>Prihod registrovanih poljoprivrednih gazdinstava</w:t>
            </w:r>
          </w:p>
        </w:tc>
      </w:tr>
      <w:tr w:rsidR="004F4EE7" w:rsidRPr="00274ED0" w14:paraId="027673F8" w14:textId="77777777" w:rsidTr="00230CC3">
        <w:tc>
          <w:tcPr>
            <w:tcW w:w="2689" w:type="dxa"/>
          </w:tcPr>
          <w:p w14:paraId="31909381" w14:textId="61722B7D" w:rsidR="004F4EE7" w:rsidRPr="00274ED0" w:rsidRDefault="00642951" w:rsidP="00274ED0">
            <w:pPr>
              <w:spacing w:after="100"/>
              <w:rPr>
                <w:rFonts w:asciiTheme="minorHAnsi" w:hAnsiTheme="minorHAnsi" w:cstheme="minorHAnsi"/>
                <w:b/>
                <w:i/>
              </w:rPr>
            </w:pPr>
            <w:r w:rsidRPr="00274ED0">
              <w:rPr>
                <w:rFonts w:asciiTheme="minorHAnsi" w:hAnsiTheme="minorHAnsi" w:cstheme="minorHAnsi"/>
                <w:b/>
              </w:rPr>
              <w:t>1.3. Poboljšana i obogaćena turistička ponuda do 2020. godine</w:t>
            </w:r>
          </w:p>
        </w:tc>
        <w:tc>
          <w:tcPr>
            <w:tcW w:w="3685" w:type="dxa"/>
          </w:tcPr>
          <w:p w14:paraId="01C864F5" w14:textId="77777777" w:rsidR="00642951" w:rsidRPr="00274ED0" w:rsidRDefault="00642951" w:rsidP="009901CE">
            <w:pPr>
              <w:numPr>
                <w:ilvl w:val="0"/>
                <w:numId w:val="15"/>
              </w:numPr>
              <w:tabs>
                <w:tab w:val="clear" w:pos="1080"/>
              </w:tabs>
              <w:ind w:left="173" w:firstLine="0"/>
              <w:jc w:val="both"/>
              <w:rPr>
                <w:rFonts w:asciiTheme="minorHAnsi" w:hAnsiTheme="minorHAnsi" w:cstheme="minorHAnsi"/>
                <w:noProof/>
                <w:lang w:val="hr-HR"/>
              </w:rPr>
            </w:pPr>
            <w:r w:rsidRPr="00274ED0">
              <w:rPr>
                <w:rFonts w:asciiTheme="minorHAnsi" w:hAnsiTheme="minorHAnsi" w:cstheme="minorHAnsi"/>
                <w:noProof/>
                <w:lang w:val="hr-HR"/>
              </w:rPr>
              <w:t>Rast broja turista od najmanje 10% do 2020. godine u odnosu na 2017. godinu</w:t>
            </w:r>
          </w:p>
          <w:p w14:paraId="4AAEA477" w14:textId="7FD5AB98" w:rsidR="004F4EE7" w:rsidRPr="00274ED0" w:rsidRDefault="00642951" w:rsidP="009901CE">
            <w:pPr>
              <w:numPr>
                <w:ilvl w:val="0"/>
                <w:numId w:val="15"/>
              </w:numPr>
              <w:tabs>
                <w:tab w:val="clear" w:pos="1080"/>
              </w:tabs>
              <w:ind w:left="173" w:firstLine="0"/>
              <w:jc w:val="both"/>
              <w:rPr>
                <w:rFonts w:asciiTheme="minorHAnsi" w:hAnsiTheme="minorHAnsi" w:cstheme="minorHAnsi"/>
                <w:noProof/>
              </w:rPr>
            </w:pPr>
            <w:r w:rsidRPr="00274ED0">
              <w:rPr>
                <w:rFonts w:asciiTheme="minorHAnsi" w:hAnsiTheme="minorHAnsi" w:cstheme="minorHAnsi"/>
                <w:noProof/>
                <w:lang w:val="hr-HR"/>
              </w:rPr>
              <w:t>Rast prihoda od  hotelijerstva i ugostiteljstva od najmanje 10% do 2020. u odnosu na 2017. godinu</w:t>
            </w:r>
          </w:p>
        </w:tc>
        <w:tc>
          <w:tcPr>
            <w:tcW w:w="2976" w:type="dxa"/>
          </w:tcPr>
          <w:p w14:paraId="233CE5DD" w14:textId="77777777" w:rsidR="004F4EE7" w:rsidRPr="00274ED0" w:rsidRDefault="00642951" w:rsidP="009901CE">
            <w:pPr>
              <w:numPr>
                <w:ilvl w:val="0"/>
                <w:numId w:val="15"/>
              </w:numPr>
              <w:tabs>
                <w:tab w:val="clear" w:pos="1080"/>
              </w:tabs>
              <w:spacing w:before="60"/>
              <w:ind w:left="260" w:hanging="284"/>
              <w:rPr>
                <w:rFonts w:asciiTheme="minorHAnsi" w:hAnsiTheme="minorHAnsi" w:cstheme="minorHAnsi"/>
                <w:noProof/>
                <w:lang w:val="hr-HR"/>
              </w:rPr>
            </w:pPr>
            <w:r w:rsidRPr="00274ED0">
              <w:rPr>
                <w:rFonts w:asciiTheme="minorHAnsi" w:hAnsiTheme="minorHAnsi" w:cstheme="minorHAnsi"/>
                <w:noProof/>
                <w:lang w:val="hr-HR"/>
              </w:rPr>
              <w:t>Broj turista</w:t>
            </w:r>
          </w:p>
          <w:p w14:paraId="1E356BD4" w14:textId="62B0100C" w:rsidR="00642951" w:rsidRPr="00274ED0" w:rsidRDefault="00642951" w:rsidP="009901CE">
            <w:pPr>
              <w:numPr>
                <w:ilvl w:val="0"/>
                <w:numId w:val="15"/>
              </w:numPr>
              <w:tabs>
                <w:tab w:val="clear" w:pos="1080"/>
              </w:tabs>
              <w:spacing w:before="60"/>
              <w:ind w:left="260" w:hanging="284"/>
              <w:rPr>
                <w:rFonts w:asciiTheme="minorHAnsi" w:hAnsiTheme="minorHAnsi" w:cstheme="minorHAnsi"/>
                <w:color w:val="FF0000"/>
                <w:lang w:val="bs-Latn-BA"/>
              </w:rPr>
            </w:pPr>
            <w:r w:rsidRPr="00274ED0">
              <w:rPr>
                <w:rFonts w:asciiTheme="minorHAnsi" w:hAnsiTheme="minorHAnsi" w:cstheme="minorHAnsi"/>
                <w:noProof/>
                <w:lang w:val="hr-HR"/>
              </w:rPr>
              <w:t>Prihod od  hotelijerstva i ugostiteljstva</w:t>
            </w:r>
          </w:p>
        </w:tc>
      </w:tr>
    </w:tbl>
    <w:p w14:paraId="10DE7343" w14:textId="77777777" w:rsidR="004F4EE7" w:rsidRPr="00560A85" w:rsidRDefault="004F4EE7" w:rsidP="004F4EE7">
      <w:pPr>
        <w:pStyle w:val="Heading3"/>
        <w:rPr>
          <w:rFonts w:eastAsia="TTE1FFBE00t00"/>
        </w:rPr>
      </w:pPr>
      <w:bookmarkStart w:id="21" w:name="_Toc488761240"/>
      <w:bookmarkStart w:id="22" w:name="_Toc496413380"/>
      <w:r w:rsidRPr="00560A85">
        <w:rPr>
          <w:rFonts w:eastAsia="TTE1FFBE00t00"/>
        </w:rPr>
        <w:t>V.2.2. Usklađenost sa strateškim dokumentima viših nivoa</w:t>
      </w:r>
      <w:bookmarkEnd w:id="21"/>
      <w:bookmarkEnd w:id="22"/>
    </w:p>
    <w:p w14:paraId="40F8851E" w14:textId="77777777" w:rsidR="004F4EE7" w:rsidRDefault="004F4EE7" w:rsidP="004F4EE7">
      <w:pPr>
        <w:jc w:val="both"/>
      </w:pPr>
      <w:bookmarkStart w:id="23" w:name="_Toc488761241"/>
      <w:r w:rsidRPr="001B79A1">
        <w:t>Elementi Strategije su u skladu sa</w:t>
      </w:r>
      <w:r>
        <w:t xml:space="preserve"> sljedećim strateškim dokumentima:</w:t>
      </w:r>
    </w:p>
    <w:p w14:paraId="19179715" w14:textId="77777777" w:rsidR="004F4EE7" w:rsidRDefault="004F4EE7" w:rsidP="009901CE">
      <w:pPr>
        <w:pStyle w:val="ListParagraph"/>
        <w:numPr>
          <w:ilvl w:val="0"/>
          <w:numId w:val="23"/>
        </w:numPr>
        <w:spacing w:before="0" w:line="240" w:lineRule="auto"/>
      </w:pPr>
      <w:r w:rsidRPr="001B79A1">
        <w:t>Strategijom podsticanja stranih ulaganja u Republiku Srpsku od 2016. do 2020. to jest sa Operativnim ciljevima Podizanje konkurentnosti i unapređivanje poslovnog okruženja, Aktivnosti promocije i kontakata za ciljane sektore i ciljana tržišta, te sa relevantnim segmentima Sektorskih ciljeva privlačenja stran</w:t>
      </w:r>
      <w:r>
        <w:t>ih ulaganja u Republiku Srpsku,</w:t>
      </w:r>
    </w:p>
    <w:p w14:paraId="390BC989" w14:textId="77777777" w:rsidR="004F4EE7" w:rsidRDefault="004F4EE7" w:rsidP="009901CE">
      <w:pPr>
        <w:pStyle w:val="ListParagraph"/>
        <w:numPr>
          <w:ilvl w:val="0"/>
          <w:numId w:val="23"/>
        </w:numPr>
        <w:spacing w:before="0" w:line="240" w:lineRule="auto"/>
      </w:pPr>
      <w:r w:rsidRPr="0021086E">
        <w:t xml:space="preserve">Strategijom i politikom razvoja industrije Republike Srpske za period 2016 – 2020. godina, to jest </w:t>
      </w:r>
      <w:r>
        <w:t xml:space="preserve">sa </w:t>
      </w:r>
      <w:r w:rsidRPr="0021086E">
        <w:t>Strateški</w:t>
      </w:r>
      <w:r>
        <w:t>m</w:t>
      </w:r>
      <w:r w:rsidRPr="0021086E">
        <w:t xml:space="preserve"> cilj</w:t>
      </w:r>
      <w:r>
        <w:t>em</w:t>
      </w:r>
      <w:r w:rsidRPr="0021086E">
        <w:t xml:space="preserve"> 2. Monitoring, praćenje razvoja industrije i primjena adekvatnih mjera</w:t>
      </w:r>
      <w:r>
        <w:t xml:space="preserve"> za poboljšanje konkurentnosti i</w:t>
      </w:r>
      <w:r w:rsidRPr="0021086E">
        <w:t xml:space="preserve"> Strateški</w:t>
      </w:r>
      <w:r>
        <w:t>m</w:t>
      </w:r>
      <w:r w:rsidRPr="0021086E">
        <w:t xml:space="preserve"> cilj</w:t>
      </w:r>
      <w:r>
        <w:t>em</w:t>
      </w:r>
      <w:r w:rsidRPr="0021086E">
        <w:t xml:space="preserve"> 3. Povećanje zaposlenosti u industriji i unapređivanje ponude radne snage</w:t>
      </w:r>
      <w:r>
        <w:t xml:space="preserve">, </w:t>
      </w:r>
    </w:p>
    <w:p w14:paraId="143F5C7F" w14:textId="77777777" w:rsidR="004F4EE7" w:rsidRDefault="004F4EE7" w:rsidP="009901CE">
      <w:pPr>
        <w:pStyle w:val="ListParagraph"/>
        <w:numPr>
          <w:ilvl w:val="0"/>
          <w:numId w:val="23"/>
        </w:numPr>
        <w:spacing w:before="0" w:line="240" w:lineRule="auto"/>
      </w:pPr>
      <w:r>
        <w:t>Strategijom razvoja malih i srednjih preduzeća Republike Srpske 2016 – 2020. godina, sa Strateškim ciljem 2 Podrška stvaranju povoljnog poslovnog okruženja za MSP,</w:t>
      </w:r>
    </w:p>
    <w:p w14:paraId="5DCC31CD" w14:textId="77777777" w:rsidR="004F4EE7" w:rsidRPr="000E1C3C" w:rsidRDefault="004F4EE7" w:rsidP="009901CE">
      <w:pPr>
        <w:pStyle w:val="ListParagraph"/>
        <w:numPr>
          <w:ilvl w:val="0"/>
          <w:numId w:val="23"/>
        </w:numPr>
        <w:spacing w:before="0" w:line="240" w:lineRule="auto"/>
        <w:rPr>
          <w:lang w:val="sr-Latn-BA"/>
        </w:rPr>
      </w:pPr>
      <w:r w:rsidRPr="000E1C3C">
        <w:t xml:space="preserve">Strateškim planom razvoja poljoprivrede i ruralnih područja Republike Srpske 2016 – 2020. </w:t>
      </w:r>
      <w:r>
        <w:t>s</w:t>
      </w:r>
      <w:r w:rsidRPr="000E1C3C">
        <w:t xml:space="preserve">a Strateškim ciljem 3 Povećanje stepena tržišnosti i finalizacije poljoprivredne proizvodnje. </w:t>
      </w:r>
    </w:p>
    <w:p w14:paraId="7D9F721E" w14:textId="2E24E05D" w:rsidR="004F4EE7" w:rsidRPr="00560A85" w:rsidRDefault="004F4EE7" w:rsidP="004F4EE7">
      <w:pPr>
        <w:pStyle w:val="Heading3"/>
      </w:pPr>
      <w:bookmarkStart w:id="24" w:name="_Toc496413381"/>
      <w:r w:rsidRPr="00560A85">
        <w:lastRenderedPageBreak/>
        <w:t>V.2.3.</w:t>
      </w:r>
      <w:r w:rsidRPr="00560A85">
        <w:rPr>
          <w:color w:val="FF0000"/>
        </w:rPr>
        <w:t xml:space="preserve"> </w:t>
      </w:r>
      <w:r w:rsidRPr="00560A85">
        <w:t>Inicijative međuop</w:t>
      </w:r>
      <w:r w:rsidR="009138A4">
        <w:t>št</w:t>
      </w:r>
      <w:r w:rsidRPr="00560A85">
        <w:t>inske saradnje</w:t>
      </w:r>
      <w:bookmarkEnd w:id="23"/>
      <w:bookmarkEnd w:id="24"/>
      <w:r w:rsidRPr="00560A85">
        <w:t xml:space="preserve"> </w:t>
      </w:r>
    </w:p>
    <w:p w14:paraId="68E9D145" w14:textId="2285A13E" w:rsidR="004F4EE7" w:rsidRPr="00795079" w:rsidRDefault="004F4EE7" w:rsidP="004F4EE7">
      <w:pPr>
        <w:spacing w:after="100"/>
        <w:jc w:val="both"/>
        <w:rPr>
          <w:rFonts w:asciiTheme="minorHAnsi" w:hAnsiTheme="minorHAnsi" w:cstheme="minorHAnsi"/>
        </w:rPr>
      </w:pPr>
      <w:r w:rsidRPr="003C181D">
        <w:t>Saradnja sa subjektima iz susjednih lokalnih zajednica u oblasti ekonomskog razvoja će biti fokusirana na privlačenje novih investicija</w:t>
      </w:r>
      <w:r w:rsidR="00E35E98">
        <w:t>, ali i na jačanje saradnje privrednih subjekata iz ključnih sektora sa okruženjem, kao i na implementaciju projekata usmjerenih na unapređenje poslovnog okruženja i poboljšanja na tržištu rada u smislu usklađivanja ponude i tražnje za radnom snagom</w:t>
      </w:r>
      <w:r w:rsidRPr="003C181D">
        <w:t>.</w:t>
      </w:r>
      <w:r>
        <w:t xml:space="preserve"> </w:t>
      </w:r>
    </w:p>
    <w:p w14:paraId="6D0E4551" w14:textId="77777777" w:rsidR="004F4EE7" w:rsidRPr="000650B8" w:rsidRDefault="004F4EE7" w:rsidP="004F4EE7">
      <w:pPr>
        <w:pStyle w:val="Heading3"/>
      </w:pPr>
      <w:bookmarkStart w:id="25" w:name="_Toc298390157"/>
      <w:bookmarkStart w:id="26" w:name="_Toc488761242"/>
      <w:bookmarkStart w:id="27" w:name="_Toc496413382"/>
      <w:r>
        <w:t>V.2</w:t>
      </w:r>
      <w:r w:rsidRPr="000650B8">
        <w:t>.</w:t>
      </w:r>
      <w:r>
        <w:t>4</w:t>
      </w:r>
      <w:r w:rsidRPr="000650B8">
        <w:t>.</w:t>
      </w:r>
      <w:r w:rsidRPr="000650B8">
        <w:tab/>
        <w:t>Programi, projekti i mjere</w:t>
      </w:r>
      <w:bookmarkEnd w:id="25"/>
      <w:bookmarkEnd w:id="26"/>
      <w:bookmarkEnd w:id="27"/>
    </w:p>
    <w:p w14:paraId="57861AED" w14:textId="3BE588C3" w:rsidR="004F4EE7" w:rsidRDefault="004F4EE7" w:rsidP="004F4EE7">
      <w:pPr>
        <w:spacing w:after="100"/>
        <w:jc w:val="both"/>
        <w:rPr>
          <w:rFonts w:ascii="Myriad Pro" w:hAnsi="Myriad Pro"/>
          <w:lang w:val="bs-Latn-BA"/>
        </w:rPr>
      </w:pPr>
      <w:bookmarkStart w:id="28" w:name="_Toc270073681"/>
      <w:r w:rsidRPr="00857D6C">
        <w:t xml:space="preserve">Za realizaciju plana ekonomskog razvoja opštine </w:t>
      </w:r>
      <w:r w:rsidR="00642951">
        <w:t>Prnjavor</w:t>
      </w:r>
      <w:r w:rsidRPr="00857D6C">
        <w:t xml:space="preserve"> definisano je </w:t>
      </w:r>
      <w:r w:rsidR="00274ED0">
        <w:t>1</w:t>
      </w:r>
      <w:r w:rsidR="00F44561">
        <w:t>0</w:t>
      </w:r>
      <w:r w:rsidRPr="00857D6C">
        <w:t xml:space="preserve"> projekata i mjera grupisanih u </w:t>
      </w:r>
      <w:r w:rsidR="00274ED0">
        <w:t>3</w:t>
      </w:r>
      <w:r w:rsidRPr="00857D6C">
        <w:t xml:space="preserve"> programa: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2"/>
        <w:gridCol w:w="4398"/>
      </w:tblGrid>
      <w:tr w:rsidR="004F4EE7" w:rsidRPr="00274ED0" w14:paraId="665D9532" w14:textId="77777777" w:rsidTr="00274ED0">
        <w:trPr>
          <w:trHeight w:val="20"/>
        </w:trPr>
        <w:tc>
          <w:tcPr>
            <w:tcW w:w="2648" w:type="pct"/>
            <w:shd w:val="clear" w:color="auto" w:fill="auto"/>
            <w:vAlign w:val="center"/>
          </w:tcPr>
          <w:p w14:paraId="4EC3E285" w14:textId="77777777" w:rsidR="004F4EE7" w:rsidRPr="00274ED0" w:rsidRDefault="004F4EE7" w:rsidP="00274ED0">
            <w:pPr>
              <w:pStyle w:val="ListParagraph"/>
              <w:spacing w:before="0" w:line="240" w:lineRule="auto"/>
              <w:ind w:left="0"/>
              <w:contextualSpacing w:val="0"/>
              <w:jc w:val="center"/>
              <w:rPr>
                <w:rFonts w:asciiTheme="minorHAnsi" w:hAnsiTheme="minorHAnsi" w:cstheme="minorHAnsi"/>
                <w:b/>
                <w:lang w:val="bs-Latn-BA"/>
              </w:rPr>
            </w:pPr>
            <w:r w:rsidRPr="00274ED0">
              <w:rPr>
                <w:rFonts w:asciiTheme="minorHAnsi" w:hAnsiTheme="minorHAnsi" w:cstheme="minorHAnsi"/>
                <w:b/>
                <w:lang w:val="bs-Latn-BA"/>
              </w:rPr>
              <w:t>PROGRAM</w:t>
            </w:r>
          </w:p>
        </w:tc>
        <w:tc>
          <w:tcPr>
            <w:tcW w:w="2352" w:type="pct"/>
            <w:shd w:val="clear" w:color="auto" w:fill="auto"/>
            <w:vAlign w:val="center"/>
          </w:tcPr>
          <w:p w14:paraId="4BD5DBC9" w14:textId="77777777" w:rsidR="004F4EE7" w:rsidRPr="00274ED0" w:rsidRDefault="004F4EE7" w:rsidP="00274ED0">
            <w:pPr>
              <w:pStyle w:val="ListParagraph"/>
              <w:spacing w:before="0" w:line="240" w:lineRule="auto"/>
              <w:ind w:left="0"/>
              <w:contextualSpacing w:val="0"/>
              <w:jc w:val="center"/>
              <w:rPr>
                <w:rFonts w:asciiTheme="minorHAnsi" w:hAnsiTheme="minorHAnsi" w:cstheme="minorHAnsi"/>
                <w:b/>
                <w:lang w:val="bs-Latn-BA"/>
              </w:rPr>
            </w:pPr>
            <w:r w:rsidRPr="00274ED0">
              <w:rPr>
                <w:rFonts w:asciiTheme="minorHAnsi" w:hAnsiTheme="minorHAnsi" w:cstheme="minorHAnsi"/>
                <w:b/>
                <w:lang w:val="bs-Latn-BA"/>
              </w:rPr>
              <w:t>MJERA/PROJEKAT</w:t>
            </w:r>
          </w:p>
        </w:tc>
      </w:tr>
      <w:tr w:rsidR="00642951" w:rsidRPr="00274ED0" w14:paraId="7D8886FC" w14:textId="77777777" w:rsidTr="00274ED0">
        <w:trPr>
          <w:trHeight w:val="20"/>
        </w:trPr>
        <w:tc>
          <w:tcPr>
            <w:tcW w:w="2648" w:type="pct"/>
            <w:vMerge w:val="restart"/>
            <w:shd w:val="clear" w:color="auto" w:fill="auto"/>
            <w:vAlign w:val="center"/>
          </w:tcPr>
          <w:p w14:paraId="2F317D93" w14:textId="32612AC8" w:rsidR="00642951" w:rsidRPr="00274ED0" w:rsidRDefault="00642951" w:rsidP="00274ED0">
            <w:pPr>
              <w:pStyle w:val="ListParagraph"/>
              <w:spacing w:before="0" w:line="240" w:lineRule="auto"/>
              <w:ind w:left="0"/>
              <w:contextualSpacing w:val="0"/>
              <w:rPr>
                <w:rFonts w:asciiTheme="minorHAnsi" w:hAnsiTheme="minorHAnsi" w:cstheme="minorHAnsi"/>
                <w:color w:val="FF0000"/>
                <w:lang w:val="bs-Latn-BA"/>
              </w:rPr>
            </w:pPr>
            <w:r w:rsidRPr="00274ED0">
              <w:rPr>
                <w:b/>
                <w:noProof/>
                <w:lang w:val="sr-Cyrl-BA"/>
              </w:rPr>
              <w:t xml:space="preserve">1.1.1 </w:t>
            </w:r>
            <w:r w:rsidRPr="00274ED0">
              <w:rPr>
                <w:rFonts w:cs="Calibri"/>
                <w:b/>
                <w:bCs/>
                <w:color w:val="000000"/>
                <w:lang w:val="sr-Latn-BA"/>
              </w:rPr>
              <w:t xml:space="preserve">Unapređenje poslovnog okruženja i privlačenje investicija </w:t>
            </w:r>
          </w:p>
        </w:tc>
        <w:tc>
          <w:tcPr>
            <w:tcW w:w="2352" w:type="pct"/>
            <w:shd w:val="clear" w:color="auto" w:fill="auto"/>
            <w:vAlign w:val="center"/>
          </w:tcPr>
          <w:p w14:paraId="18AB4526" w14:textId="34B571B8" w:rsidR="00642951" w:rsidRPr="00274ED0" w:rsidRDefault="00642951" w:rsidP="00274ED0">
            <w:pPr>
              <w:pStyle w:val="ListParagraph"/>
              <w:spacing w:before="0" w:line="240" w:lineRule="auto"/>
              <w:ind w:left="0"/>
              <w:contextualSpacing w:val="0"/>
              <w:rPr>
                <w:rFonts w:asciiTheme="minorHAnsi" w:hAnsiTheme="minorHAnsi" w:cstheme="minorHAnsi"/>
                <w:color w:val="FF0000"/>
                <w:lang w:val="bs-Latn-BA"/>
              </w:rPr>
            </w:pPr>
            <w:r w:rsidRPr="00274ED0">
              <w:rPr>
                <w:rFonts w:cs="Calibri"/>
                <w:color w:val="000000"/>
              </w:rPr>
              <w:t>1.1.1.1. I</w:t>
            </w:r>
            <w:r w:rsidRPr="00274ED0">
              <w:rPr>
                <w:rFonts w:cs="Calibri"/>
                <w:color w:val="000000"/>
                <w:lang w:val="sr-Latn-BA"/>
              </w:rPr>
              <w:t>zgradnja infrastrukture u Poslovnoj zoni Vijaka</w:t>
            </w:r>
          </w:p>
        </w:tc>
      </w:tr>
      <w:tr w:rsidR="00642951" w:rsidRPr="00274ED0" w14:paraId="2314882C" w14:textId="77777777" w:rsidTr="00274ED0">
        <w:trPr>
          <w:trHeight w:val="20"/>
        </w:trPr>
        <w:tc>
          <w:tcPr>
            <w:tcW w:w="2648" w:type="pct"/>
            <w:vMerge/>
            <w:shd w:val="clear" w:color="auto" w:fill="auto"/>
            <w:vAlign w:val="center"/>
          </w:tcPr>
          <w:p w14:paraId="79AF7CFC" w14:textId="77777777" w:rsidR="00642951" w:rsidRPr="00274ED0" w:rsidRDefault="00642951" w:rsidP="00274ED0">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5C5AD119" w14:textId="517C4182" w:rsidR="00642951" w:rsidRPr="00274ED0" w:rsidRDefault="00642951" w:rsidP="00274ED0">
            <w:pPr>
              <w:pStyle w:val="ListParagraph"/>
              <w:spacing w:before="0" w:line="240" w:lineRule="auto"/>
              <w:ind w:left="0"/>
              <w:contextualSpacing w:val="0"/>
              <w:rPr>
                <w:rFonts w:asciiTheme="minorHAnsi" w:hAnsiTheme="minorHAnsi" w:cstheme="minorHAnsi"/>
                <w:color w:val="FF0000"/>
                <w:lang w:val="bs-Latn-BA"/>
              </w:rPr>
            </w:pPr>
            <w:r w:rsidRPr="00274ED0">
              <w:rPr>
                <w:rFonts w:cs="Calibri"/>
                <w:color w:val="000000"/>
                <w:lang w:val="sr-Latn-BA"/>
              </w:rPr>
              <w:t>1.1.1.2. Privredna saradnja sa dijasporom</w:t>
            </w:r>
          </w:p>
        </w:tc>
      </w:tr>
      <w:tr w:rsidR="00642951" w:rsidRPr="00274ED0" w14:paraId="62A99F4A" w14:textId="77777777" w:rsidTr="00274ED0">
        <w:trPr>
          <w:trHeight w:val="20"/>
        </w:trPr>
        <w:tc>
          <w:tcPr>
            <w:tcW w:w="2648" w:type="pct"/>
            <w:vMerge/>
            <w:shd w:val="clear" w:color="auto" w:fill="auto"/>
            <w:vAlign w:val="center"/>
          </w:tcPr>
          <w:p w14:paraId="65B8BC86" w14:textId="77777777" w:rsidR="00642951" w:rsidRPr="00274ED0" w:rsidRDefault="00642951" w:rsidP="00274ED0">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7B2557E3" w14:textId="640A8EA3" w:rsidR="00642951" w:rsidRPr="00274ED0" w:rsidRDefault="00642951" w:rsidP="00274ED0">
            <w:pPr>
              <w:pStyle w:val="ListParagraph"/>
              <w:spacing w:before="0" w:line="240" w:lineRule="auto"/>
              <w:ind w:left="0"/>
              <w:contextualSpacing w:val="0"/>
              <w:rPr>
                <w:rFonts w:asciiTheme="minorHAnsi" w:hAnsiTheme="minorHAnsi" w:cstheme="minorHAnsi"/>
                <w:bCs/>
                <w:color w:val="000000"/>
                <w:lang w:val="sr-Latn-BA" w:eastAsia="sr-Latn-BA"/>
              </w:rPr>
            </w:pPr>
            <w:r w:rsidRPr="00274ED0">
              <w:rPr>
                <w:rFonts w:cs="Calibri"/>
                <w:color w:val="000000"/>
                <w:lang w:val="sr-Latn-BA"/>
              </w:rPr>
              <w:t>1.1.1.3. Promocija Prnjavora kao investicione destinacije</w:t>
            </w:r>
          </w:p>
        </w:tc>
      </w:tr>
      <w:tr w:rsidR="00642951" w:rsidRPr="00274ED0" w14:paraId="405D9BD1" w14:textId="77777777" w:rsidTr="00274ED0">
        <w:trPr>
          <w:trHeight w:val="20"/>
        </w:trPr>
        <w:tc>
          <w:tcPr>
            <w:tcW w:w="2648" w:type="pct"/>
            <w:vMerge/>
            <w:shd w:val="clear" w:color="auto" w:fill="auto"/>
            <w:vAlign w:val="center"/>
          </w:tcPr>
          <w:p w14:paraId="756B9826" w14:textId="77777777" w:rsidR="00642951" w:rsidRPr="00274ED0" w:rsidRDefault="00642951" w:rsidP="00274ED0">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3BB8ECB4" w14:textId="1E916873" w:rsidR="00642951" w:rsidRPr="00274ED0" w:rsidRDefault="00642951" w:rsidP="00274ED0">
            <w:pPr>
              <w:pStyle w:val="ListParagraph"/>
              <w:spacing w:before="0" w:line="240" w:lineRule="auto"/>
              <w:ind w:left="0"/>
              <w:contextualSpacing w:val="0"/>
              <w:rPr>
                <w:rFonts w:cs="Calibri"/>
                <w:color w:val="000000"/>
                <w:lang w:val="sr-Latn-BA"/>
              </w:rPr>
            </w:pPr>
            <w:r w:rsidRPr="00274ED0">
              <w:rPr>
                <w:rFonts w:cs="Calibri"/>
                <w:color w:val="000000"/>
                <w:lang w:val="sr-Latn-BA"/>
              </w:rPr>
              <w:t>1.1.1.4. Usklađivanje ponude i tražnje na tržištu rada</w:t>
            </w:r>
          </w:p>
        </w:tc>
      </w:tr>
      <w:tr w:rsidR="00642951" w:rsidRPr="00274ED0" w14:paraId="562AE9B2" w14:textId="77777777" w:rsidTr="00274ED0">
        <w:trPr>
          <w:trHeight w:val="20"/>
        </w:trPr>
        <w:tc>
          <w:tcPr>
            <w:tcW w:w="2648" w:type="pct"/>
            <w:vMerge/>
            <w:shd w:val="clear" w:color="auto" w:fill="auto"/>
            <w:vAlign w:val="center"/>
          </w:tcPr>
          <w:p w14:paraId="7C1AAA70" w14:textId="77777777" w:rsidR="00642951" w:rsidRPr="00274ED0" w:rsidRDefault="00642951" w:rsidP="00274ED0">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26098473" w14:textId="37B651F1" w:rsidR="00642951" w:rsidRPr="00274ED0" w:rsidRDefault="00642951" w:rsidP="00274ED0">
            <w:pPr>
              <w:pStyle w:val="ListParagraph"/>
              <w:spacing w:before="0" w:line="240" w:lineRule="auto"/>
              <w:ind w:left="0"/>
              <w:contextualSpacing w:val="0"/>
              <w:rPr>
                <w:rFonts w:cs="Calibri"/>
                <w:color w:val="000000"/>
                <w:lang w:val="sr-Latn-BA"/>
              </w:rPr>
            </w:pPr>
            <w:r w:rsidRPr="00274ED0">
              <w:rPr>
                <w:rFonts w:cs="Calibri"/>
                <w:color w:val="000000"/>
                <w:lang w:val="sr-Latn-BA"/>
              </w:rPr>
              <w:t>1.1.1.5. Izgradnja kapaciteta za pružanje podrške/usluga privredi</w:t>
            </w:r>
          </w:p>
        </w:tc>
      </w:tr>
      <w:tr w:rsidR="00642951" w:rsidRPr="00274ED0" w14:paraId="632EFE93" w14:textId="77777777" w:rsidTr="00274ED0">
        <w:trPr>
          <w:trHeight w:val="20"/>
        </w:trPr>
        <w:tc>
          <w:tcPr>
            <w:tcW w:w="2648" w:type="pct"/>
            <w:vMerge/>
            <w:shd w:val="clear" w:color="auto" w:fill="auto"/>
            <w:vAlign w:val="center"/>
          </w:tcPr>
          <w:p w14:paraId="4CAF4A20" w14:textId="77777777" w:rsidR="00642951" w:rsidRPr="00274ED0" w:rsidRDefault="00642951" w:rsidP="00274ED0">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7BBB801E" w14:textId="54E6CC01" w:rsidR="00642951" w:rsidRPr="00274ED0" w:rsidRDefault="00642951" w:rsidP="00274ED0">
            <w:pPr>
              <w:pStyle w:val="ListParagraph"/>
              <w:spacing w:before="0" w:line="240" w:lineRule="auto"/>
              <w:ind w:left="0"/>
              <w:contextualSpacing w:val="0"/>
              <w:rPr>
                <w:rFonts w:cs="Calibri"/>
                <w:color w:val="000000"/>
                <w:lang w:val="sr-Latn-BA"/>
              </w:rPr>
            </w:pPr>
            <w:r w:rsidRPr="00274ED0">
              <w:rPr>
                <w:rFonts w:cs="Calibri"/>
                <w:color w:val="000000"/>
                <w:lang w:val="sr-Latn-BA"/>
              </w:rPr>
              <w:t>1.1.1.6. Promocija obnovljive energije i energetske efikasnosti u privredi</w:t>
            </w:r>
          </w:p>
        </w:tc>
      </w:tr>
      <w:tr w:rsidR="00274ED0" w:rsidRPr="00274ED0" w14:paraId="323B34B5" w14:textId="77777777" w:rsidTr="00274ED0">
        <w:trPr>
          <w:trHeight w:val="20"/>
        </w:trPr>
        <w:tc>
          <w:tcPr>
            <w:tcW w:w="2648" w:type="pct"/>
            <w:vMerge w:val="restart"/>
            <w:shd w:val="clear" w:color="auto" w:fill="auto"/>
            <w:vAlign w:val="center"/>
          </w:tcPr>
          <w:p w14:paraId="2050D597" w14:textId="0AEA46D9" w:rsidR="00274ED0" w:rsidRPr="00274ED0" w:rsidRDefault="00274ED0" w:rsidP="00274ED0">
            <w:pPr>
              <w:pStyle w:val="ListParagraph"/>
              <w:spacing w:before="0" w:line="240" w:lineRule="auto"/>
              <w:ind w:left="0"/>
              <w:contextualSpacing w:val="0"/>
              <w:rPr>
                <w:rFonts w:asciiTheme="minorHAnsi" w:hAnsiTheme="minorHAnsi" w:cstheme="minorHAnsi"/>
                <w:color w:val="FF0000"/>
                <w:lang w:val="sr-Latn-BA"/>
              </w:rPr>
            </w:pPr>
            <w:r w:rsidRPr="00274ED0">
              <w:rPr>
                <w:b/>
                <w:lang w:val="sr-Cyrl-BA"/>
              </w:rPr>
              <w:t xml:space="preserve">1.2.1. </w:t>
            </w:r>
            <w:r w:rsidRPr="00274ED0">
              <w:rPr>
                <w:b/>
                <w:lang w:val="sr-Latn-BA"/>
              </w:rPr>
              <w:t xml:space="preserve">Unapređenje sistema podrške </w:t>
            </w:r>
            <w:r w:rsidRPr="00274ED0">
              <w:rPr>
                <w:b/>
                <w:lang w:val="sr-Cyrl-BA"/>
              </w:rPr>
              <w:t>poljoprivrednoj proizvodnji</w:t>
            </w:r>
            <w:r w:rsidRPr="00274ED0">
              <w:rPr>
                <w:b/>
                <w:lang w:val="sr-Latn-BA"/>
              </w:rPr>
              <w:t xml:space="preserve"> </w:t>
            </w:r>
          </w:p>
        </w:tc>
        <w:tc>
          <w:tcPr>
            <w:tcW w:w="2352" w:type="pct"/>
            <w:shd w:val="clear" w:color="auto" w:fill="auto"/>
            <w:vAlign w:val="center"/>
          </w:tcPr>
          <w:p w14:paraId="581ED76C" w14:textId="2472AB70" w:rsidR="00274ED0" w:rsidRPr="00274ED0" w:rsidRDefault="00274ED0" w:rsidP="00274ED0">
            <w:pPr>
              <w:pStyle w:val="ListParagraph"/>
              <w:spacing w:before="0" w:line="240" w:lineRule="auto"/>
              <w:ind w:left="0"/>
              <w:contextualSpacing w:val="0"/>
              <w:rPr>
                <w:rFonts w:asciiTheme="minorHAnsi" w:hAnsiTheme="minorHAnsi" w:cstheme="minorHAnsi"/>
                <w:color w:val="FF0000"/>
                <w:lang w:val="bs-Latn-BA"/>
              </w:rPr>
            </w:pPr>
            <w:r w:rsidRPr="00274ED0">
              <w:rPr>
                <w:lang w:val="sr-Latn-BA"/>
              </w:rPr>
              <w:t>1.2.1.1. Mjera: Podsticaji za poljoprivredne proizvođače</w:t>
            </w:r>
          </w:p>
        </w:tc>
      </w:tr>
      <w:tr w:rsidR="00274ED0" w:rsidRPr="00274ED0" w14:paraId="015A54FD" w14:textId="77777777" w:rsidTr="00274ED0">
        <w:trPr>
          <w:trHeight w:val="20"/>
        </w:trPr>
        <w:tc>
          <w:tcPr>
            <w:tcW w:w="2648" w:type="pct"/>
            <w:vMerge/>
            <w:shd w:val="clear" w:color="auto" w:fill="auto"/>
            <w:vAlign w:val="center"/>
          </w:tcPr>
          <w:p w14:paraId="2461E1DE" w14:textId="77777777" w:rsidR="00274ED0" w:rsidRPr="00274ED0" w:rsidRDefault="00274ED0" w:rsidP="00274ED0">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5A22BA85" w14:textId="772BCD14" w:rsidR="00274ED0" w:rsidRPr="00274ED0" w:rsidRDefault="00274ED0" w:rsidP="00274ED0">
            <w:pPr>
              <w:pStyle w:val="ListParagraph"/>
              <w:spacing w:before="0" w:line="240" w:lineRule="auto"/>
              <w:ind w:left="0"/>
              <w:contextualSpacing w:val="0"/>
              <w:rPr>
                <w:rFonts w:asciiTheme="minorHAnsi" w:hAnsiTheme="minorHAnsi" w:cstheme="minorHAnsi"/>
                <w:color w:val="FF0000"/>
                <w:lang w:val="bs-Latn-BA"/>
              </w:rPr>
            </w:pPr>
            <w:r w:rsidRPr="00274ED0">
              <w:rPr>
                <w:lang w:val="sr-Latn-BA"/>
              </w:rPr>
              <w:t>1.2.1.2. Izgradnja kapaciteta poljoprivredne zadruge (za skladištenje i pakovanje poljoprivrednih proizvoda, povezivanje sa tržištem)</w:t>
            </w:r>
          </w:p>
        </w:tc>
      </w:tr>
      <w:tr w:rsidR="00274ED0" w:rsidRPr="00274ED0" w14:paraId="5D35C9FA" w14:textId="77777777" w:rsidTr="00274ED0">
        <w:trPr>
          <w:trHeight w:val="20"/>
        </w:trPr>
        <w:tc>
          <w:tcPr>
            <w:tcW w:w="2648" w:type="pct"/>
            <w:vMerge/>
            <w:shd w:val="clear" w:color="auto" w:fill="auto"/>
            <w:vAlign w:val="center"/>
          </w:tcPr>
          <w:p w14:paraId="7426BBBB" w14:textId="77777777" w:rsidR="00274ED0" w:rsidRPr="00274ED0" w:rsidRDefault="00274ED0" w:rsidP="00274ED0">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0CFCE6FA" w14:textId="57480977" w:rsidR="00274ED0" w:rsidRPr="00274ED0" w:rsidRDefault="00274ED0" w:rsidP="00274ED0">
            <w:pPr>
              <w:pStyle w:val="ListParagraph"/>
              <w:spacing w:before="0" w:line="240" w:lineRule="auto"/>
              <w:ind w:left="0"/>
              <w:contextualSpacing w:val="0"/>
              <w:rPr>
                <w:rFonts w:asciiTheme="minorHAnsi" w:hAnsiTheme="minorHAnsi" w:cstheme="minorHAnsi"/>
                <w:color w:val="FF0000"/>
                <w:lang w:val="bs-Latn-BA"/>
              </w:rPr>
            </w:pPr>
            <w:r w:rsidRPr="00274ED0">
              <w:rPr>
                <w:lang w:val="sr-Latn-BA"/>
              </w:rPr>
              <w:t>1.2.1.3. Mjera: Savjetodavna podrška poljoprivrednim proizvođačima</w:t>
            </w:r>
          </w:p>
        </w:tc>
      </w:tr>
      <w:tr w:rsidR="00AF4ECD" w:rsidRPr="00274ED0" w14:paraId="3EC6ABE4" w14:textId="77777777" w:rsidTr="00AF4ECD">
        <w:trPr>
          <w:trHeight w:val="418"/>
        </w:trPr>
        <w:tc>
          <w:tcPr>
            <w:tcW w:w="2648" w:type="pct"/>
            <w:shd w:val="clear" w:color="auto" w:fill="auto"/>
            <w:vAlign w:val="center"/>
          </w:tcPr>
          <w:p w14:paraId="017B2B21" w14:textId="5581B136" w:rsidR="00AF4ECD" w:rsidRPr="00274ED0" w:rsidRDefault="00AF4ECD" w:rsidP="00274ED0">
            <w:pPr>
              <w:pStyle w:val="ListParagraph"/>
              <w:spacing w:before="0" w:line="240" w:lineRule="auto"/>
              <w:ind w:left="0"/>
              <w:contextualSpacing w:val="0"/>
              <w:rPr>
                <w:rFonts w:asciiTheme="minorHAnsi" w:hAnsiTheme="minorHAnsi" w:cstheme="minorHAnsi"/>
                <w:color w:val="FF0000"/>
                <w:lang w:val="bs-Latn-BA"/>
              </w:rPr>
            </w:pPr>
            <w:r w:rsidRPr="00274ED0">
              <w:rPr>
                <w:b/>
                <w:lang w:val="sr-Cyrl-BA"/>
              </w:rPr>
              <w:t>1.</w:t>
            </w:r>
            <w:r w:rsidRPr="00274ED0">
              <w:rPr>
                <w:b/>
                <w:lang w:val="sr-Latn-BA"/>
              </w:rPr>
              <w:t>3</w:t>
            </w:r>
            <w:r w:rsidRPr="00274ED0">
              <w:rPr>
                <w:b/>
                <w:lang w:val="sr-Cyrl-BA"/>
              </w:rPr>
              <w:t xml:space="preserve">.1. </w:t>
            </w:r>
            <w:r w:rsidRPr="00274ED0">
              <w:rPr>
                <w:b/>
                <w:lang w:val="sr-Latn-BA"/>
              </w:rPr>
              <w:t>Razvoj kapaciteta u turizmu</w:t>
            </w:r>
          </w:p>
        </w:tc>
        <w:tc>
          <w:tcPr>
            <w:tcW w:w="2352" w:type="pct"/>
            <w:shd w:val="clear" w:color="auto" w:fill="auto"/>
            <w:vAlign w:val="center"/>
          </w:tcPr>
          <w:p w14:paraId="6D3253D3" w14:textId="08A848C5" w:rsidR="00AF4ECD" w:rsidRPr="00274ED0" w:rsidRDefault="00B81517" w:rsidP="00274ED0">
            <w:pPr>
              <w:pStyle w:val="ListParagraph"/>
              <w:spacing w:before="0" w:line="240" w:lineRule="auto"/>
              <w:ind w:left="0"/>
              <w:contextualSpacing w:val="0"/>
              <w:rPr>
                <w:rFonts w:asciiTheme="minorHAnsi" w:hAnsiTheme="minorHAnsi" w:cstheme="minorHAnsi"/>
                <w:color w:val="FF0000"/>
                <w:lang w:val="bs-Latn-BA"/>
              </w:rPr>
            </w:pPr>
            <w:r w:rsidRPr="00B81517">
              <w:rPr>
                <w:highlight w:val="cyan"/>
                <w:lang w:val="sr-Latn-BA"/>
              </w:rPr>
              <w:t xml:space="preserve">1.3.1.1. </w:t>
            </w:r>
            <w:r w:rsidR="00AF4ECD" w:rsidRPr="00B81517">
              <w:rPr>
                <w:highlight w:val="cyan"/>
                <w:lang w:val="sr-Latn-BA"/>
              </w:rPr>
              <w:t>Unapređenje i promocija turističke ponude</w:t>
            </w:r>
          </w:p>
        </w:tc>
      </w:tr>
    </w:tbl>
    <w:p w14:paraId="56D40D61" w14:textId="77777777" w:rsidR="004F4EE7" w:rsidRPr="000650B8" w:rsidRDefault="004F4EE7" w:rsidP="004F4EE7">
      <w:pPr>
        <w:pStyle w:val="ListParagraph"/>
        <w:spacing w:before="0" w:line="240" w:lineRule="auto"/>
        <w:ind w:left="714"/>
        <w:contextualSpacing w:val="0"/>
        <w:rPr>
          <w:rFonts w:ascii="Myriad Pro" w:hAnsi="Myriad Pro"/>
          <w:lang w:val="bs-Latn-BA"/>
        </w:rPr>
      </w:pPr>
    </w:p>
    <w:p w14:paraId="20122944" w14:textId="78F80C99" w:rsidR="004F4EE7" w:rsidRPr="00857D6C" w:rsidRDefault="004F4EE7" w:rsidP="004F4EE7">
      <w:pPr>
        <w:spacing w:after="100"/>
        <w:jc w:val="both"/>
      </w:pPr>
      <w:bookmarkStart w:id="29" w:name="_Toc298390158"/>
      <w:bookmarkEnd w:id="28"/>
      <w:r w:rsidRPr="00857D6C">
        <w:t xml:space="preserve">Ukupna očekivana ulaganja za realizaciju sektorskog plana ekonomskog razvoja su: </w:t>
      </w:r>
      <w:r w:rsidR="00E35E98" w:rsidRPr="00274ED0">
        <w:rPr>
          <w:highlight w:val="yellow"/>
        </w:rPr>
        <w:t>X</w:t>
      </w:r>
      <w:r w:rsidRPr="00274ED0">
        <w:rPr>
          <w:highlight w:val="yellow"/>
        </w:rPr>
        <w:t xml:space="preserve"> KM</w:t>
      </w:r>
      <w:r>
        <w:t>.</w:t>
      </w:r>
    </w:p>
    <w:p w14:paraId="73C5E62C" w14:textId="77777777" w:rsidR="004F4EE7" w:rsidRPr="000650B8" w:rsidRDefault="004F4EE7" w:rsidP="004F4EE7">
      <w:pPr>
        <w:pStyle w:val="ListParagraph"/>
        <w:spacing w:before="0"/>
        <w:ind w:left="0"/>
        <w:rPr>
          <w:rFonts w:ascii="Myriad Pro" w:hAnsi="Myriad Pro"/>
          <w:lang w:val="bs-Latn-BA"/>
        </w:rPr>
      </w:pPr>
    </w:p>
    <w:bookmarkEnd w:id="29"/>
    <w:p w14:paraId="0A1C2956" w14:textId="77777777" w:rsidR="004F4EE7" w:rsidRPr="000650B8" w:rsidRDefault="004F4EE7" w:rsidP="004F4EE7">
      <w:pPr>
        <w:rPr>
          <w:rFonts w:ascii="Myriad Pro" w:hAnsi="Myriad Pro"/>
          <w:lang w:val="bs-Latn-BA"/>
        </w:rPr>
      </w:pPr>
    </w:p>
    <w:p w14:paraId="756A8BC0" w14:textId="77777777" w:rsidR="004F4EE7" w:rsidRPr="000650B8" w:rsidRDefault="004F4EE7" w:rsidP="004F4EE7">
      <w:pPr>
        <w:pStyle w:val="Heading3"/>
        <w:spacing w:before="0" w:after="0" w:line="240" w:lineRule="auto"/>
        <w:rPr>
          <w:rFonts w:ascii="Myriad Pro" w:hAnsi="Myriad Pro"/>
          <w:lang w:val="bs-Latn-BA"/>
        </w:rPr>
        <w:sectPr w:rsidR="004F4EE7" w:rsidRPr="000650B8" w:rsidSect="000B6E58">
          <w:footerReference w:type="default" r:id="rId28"/>
          <w:pgSz w:w="12240" w:h="15840"/>
          <w:pgMar w:top="1440" w:right="1440" w:bottom="1440" w:left="1440" w:header="720" w:footer="720" w:gutter="0"/>
          <w:cols w:space="720"/>
          <w:docGrid w:linePitch="360"/>
        </w:sectPr>
      </w:pPr>
    </w:p>
    <w:p w14:paraId="138037D8" w14:textId="3DD37230" w:rsidR="004F4EE7" w:rsidRPr="000650B8" w:rsidRDefault="00F67084" w:rsidP="004F4EE7">
      <w:pPr>
        <w:pStyle w:val="Heading2"/>
      </w:pPr>
      <w:bookmarkStart w:id="30" w:name="_Toc298390159"/>
      <w:bookmarkStart w:id="31" w:name="_Toc488761243"/>
      <w:bookmarkStart w:id="32" w:name="_Toc496413383"/>
      <w:r>
        <w:lastRenderedPageBreak/>
        <w:t>V.3</w:t>
      </w:r>
      <w:r w:rsidR="004F4EE7" w:rsidRPr="000650B8">
        <w:t>.</w:t>
      </w:r>
      <w:r w:rsidR="004F4EE7" w:rsidRPr="000650B8">
        <w:tab/>
        <w:t>Plan društvenog razvoja</w:t>
      </w:r>
      <w:bookmarkEnd w:id="30"/>
      <w:bookmarkEnd w:id="31"/>
      <w:bookmarkEnd w:id="32"/>
    </w:p>
    <w:p w14:paraId="38EB0CF2" w14:textId="15D32902" w:rsidR="004F4EE7" w:rsidRPr="00D44AF3" w:rsidRDefault="004F4EE7" w:rsidP="004F4EE7">
      <w:pPr>
        <w:spacing w:after="100"/>
        <w:jc w:val="both"/>
      </w:pPr>
      <w:r w:rsidRPr="00D44AF3">
        <w:t xml:space="preserve">U izradi  Plana </w:t>
      </w:r>
      <w:r>
        <w:t>društve</w:t>
      </w:r>
      <w:r w:rsidRPr="00D44AF3">
        <w:t xml:space="preserve">nog razvoja je korištena revidirana i ažurirana SWOT analiza </w:t>
      </w:r>
      <w:r>
        <w:t>društven</w:t>
      </w:r>
      <w:r w:rsidRPr="00D44AF3">
        <w:t xml:space="preserve">og razvoja </w:t>
      </w:r>
      <w:r>
        <w:t xml:space="preserve">opštine </w:t>
      </w:r>
      <w:r w:rsidR="00E35E98">
        <w:t>Prnjavor</w:t>
      </w:r>
      <w:r w:rsidRPr="00D44AF3">
        <w:t xml:space="preserve"> (data kao jedan od priloga), te relevantni nalazi </w:t>
      </w:r>
      <w:r w:rsidR="00E35E98">
        <w:t>provedenih analiza i stavovi ORT</w:t>
      </w:r>
      <w:r w:rsidRPr="00D44AF3">
        <w:t>.</w:t>
      </w:r>
      <w:r>
        <w:t xml:space="preserve"> </w:t>
      </w:r>
    </w:p>
    <w:p w14:paraId="2C5C7196" w14:textId="388AE9AD" w:rsidR="004F4EE7" w:rsidRDefault="00E35E98" w:rsidP="004F4EE7">
      <w:pPr>
        <w:jc w:val="both"/>
      </w:pPr>
      <w:r>
        <w:t>F</w:t>
      </w:r>
      <w:r w:rsidR="004F4EE7" w:rsidRPr="00D44AF3">
        <w:t xml:space="preserve">okusi </w:t>
      </w:r>
      <w:r w:rsidR="004F4EE7">
        <w:t>društven</w:t>
      </w:r>
      <w:r w:rsidR="004F4EE7" w:rsidRPr="00D44AF3">
        <w:t>og razvoja za naredni period su:</w:t>
      </w:r>
    </w:p>
    <w:p w14:paraId="23CDB288" w14:textId="6BB6E289" w:rsidR="00E35E98" w:rsidRPr="00911575" w:rsidRDefault="00E35E98" w:rsidP="009901CE">
      <w:pPr>
        <w:pStyle w:val="ListParagraph"/>
        <w:numPr>
          <w:ilvl w:val="0"/>
          <w:numId w:val="21"/>
        </w:numPr>
        <w:spacing w:before="0" w:line="240" w:lineRule="auto"/>
        <w:rPr>
          <w:rFonts w:cstheme="minorHAnsi"/>
          <w:bCs/>
          <w:iCs/>
          <w:lang w:val="sr-Latn-BA"/>
        </w:rPr>
      </w:pPr>
      <w:r w:rsidRPr="00911575">
        <w:rPr>
          <w:rFonts w:cstheme="minorHAnsi"/>
          <w:bCs/>
          <w:iCs/>
          <w:lang w:val="sr-Latn-BA"/>
        </w:rPr>
        <w:t>Unapređenje komunalne infrastrukture</w:t>
      </w:r>
      <w:r>
        <w:rPr>
          <w:rFonts w:cstheme="minorHAnsi"/>
          <w:bCs/>
          <w:iCs/>
          <w:lang w:val="sr-Latn-BA"/>
        </w:rPr>
        <w:t>,</w:t>
      </w:r>
    </w:p>
    <w:p w14:paraId="2546CA46" w14:textId="6EE5DB1C" w:rsidR="00E35E98" w:rsidRPr="00911575" w:rsidRDefault="00E35E98" w:rsidP="009901CE">
      <w:pPr>
        <w:pStyle w:val="ListParagraph"/>
        <w:numPr>
          <w:ilvl w:val="0"/>
          <w:numId w:val="21"/>
        </w:numPr>
        <w:spacing w:before="0" w:line="240" w:lineRule="auto"/>
        <w:rPr>
          <w:rFonts w:cstheme="minorHAnsi"/>
          <w:bCs/>
          <w:iCs/>
          <w:lang w:val="sr-Latn-BA"/>
        </w:rPr>
      </w:pPr>
      <w:r w:rsidRPr="00911575">
        <w:rPr>
          <w:rFonts w:cstheme="minorHAnsi"/>
          <w:bCs/>
          <w:iCs/>
          <w:lang w:val="sr-Latn-BA"/>
        </w:rPr>
        <w:t>Poboljšanje uslova za bavljenje sportom i aktivnostima u oblasti kulture</w:t>
      </w:r>
      <w:r>
        <w:rPr>
          <w:rFonts w:cstheme="minorHAnsi"/>
          <w:bCs/>
          <w:iCs/>
          <w:lang w:val="sr-Latn-BA"/>
        </w:rPr>
        <w:t>,</w:t>
      </w:r>
    </w:p>
    <w:p w14:paraId="6AF4A90B" w14:textId="27CAA21E" w:rsidR="004F4EE7" w:rsidRPr="00F73337" w:rsidRDefault="00E35E98" w:rsidP="009901CE">
      <w:pPr>
        <w:pStyle w:val="ListParagraph"/>
        <w:numPr>
          <w:ilvl w:val="0"/>
          <w:numId w:val="21"/>
        </w:numPr>
        <w:spacing w:before="0" w:line="240" w:lineRule="auto"/>
        <w:rPr>
          <w:rFonts w:cstheme="minorHAnsi"/>
          <w:bCs/>
          <w:iCs/>
          <w:lang w:val="sr-Latn-BA"/>
        </w:rPr>
      </w:pPr>
      <w:r>
        <w:rPr>
          <w:rFonts w:cstheme="minorHAnsi"/>
          <w:bCs/>
          <w:iCs/>
          <w:lang w:val="sr-Latn-BA"/>
        </w:rPr>
        <w:t>Aktivno uključivanje</w:t>
      </w:r>
      <w:r w:rsidRPr="00911575">
        <w:rPr>
          <w:rFonts w:cstheme="minorHAnsi"/>
          <w:bCs/>
          <w:iCs/>
          <w:lang w:val="sr-Latn-BA"/>
        </w:rPr>
        <w:t xml:space="preserve"> civilnog društva </w:t>
      </w:r>
      <w:r>
        <w:rPr>
          <w:rFonts w:cstheme="minorHAnsi"/>
          <w:bCs/>
          <w:iCs/>
          <w:lang w:val="sr-Latn-BA"/>
        </w:rPr>
        <w:t>u razvojne procese</w:t>
      </w:r>
      <w:r w:rsidR="004F4EE7">
        <w:rPr>
          <w:rFonts w:cstheme="minorHAnsi"/>
          <w:bCs/>
          <w:iCs/>
          <w:lang w:val="sr-Latn-BA"/>
        </w:rPr>
        <w:t>.</w:t>
      </w:r>
    </w:p>
    <w:p w14:paraId="4705EC07" w14:textId="461777DE" w:rsidR="004F4EE7" w:rsidRPr="000650B8" w:rsidRDefault="004F4EE7" w:rsidP="004F4EE7">
      <w:pPr>
        <w:pStyle w:val="Heading3"/>
      </w:pPr>
      <w:bookmarkStart w:id="33" w:name="_Toc488761244"/>
      <w:bookmarkStart w:id="34" w:name="_Toc496413384"/>
      <w:r>
        <w:t>V.</w:t>
      </w:r>
      <w:r w:rsidR="00F67084">
        <w:t>3</w:t>
      </w:r>
      <w:r>
        <w:t>.1</w:t>
      </w:r>
      <w:r w:rsidRPr="000650B8">
        <w:t>.</w:t>
      </w:r>
      <w:r w:rsidRPr="000650B8">
        <w:tab/>
      </w:r>
      <w:r>
        <w:t xml:space="preserve">Pregled sektorskih ciljeva sa </w:t>
      </w:r>
      <w:r w:rsidRPr="000650B8">
        <w:t>očekiva</w:t>
      </w:r>
      <w:r>
        <w:t>nim</w:t>
      </w:r>
      <w:r w:rsidRPr="000650B8">
        <w:t xml:space="preserve"> ishod</w:t>
      </w:r>
      <w:r>
        <w:t>ima i</w:t>
      </w:r>
      <w:r w:rsidRPr="000650B8">
        <w:t xml:space="preserve"> indikatorima</w:t>
      </w:r>
      <w:bookmarkEnd w:id="33"/>
      <w:bookmarkEnd w:id="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3969"/>
        <w:gridCol w:w="2834"/>
      </w:tblGrid>
      <w:tr w:rsidR="004F4EE7" w:rsidRPr="000650B8" w14:paraId="10934F0A" w14:textId="77777777" w:rsidTr="00017A93">
        <w:tc>
          <w:tcPr>
            <w:tcW w:w="2547" w:type="dxa"/>
            <w:shd w:val="clear" w:color="auto" w:fill="C6D9F1"/>
          </w:tcPr>
          <w:p w14:paraId="493CAB13" w14:textId="77777777" w:rsidR="004F4EE7" w:rsidRPr="000650B8" w:rsidRDefault="004F4EE7" w:rsidP="000B6E58">
            <w:pPr>
              <w:rPr>
                <w:rFonts w:ascii="Myriad Pro" w:hAnsi="Myriad Pro"/>
                <w:b/>
                <w:lang w:val="bs-Latn-BA"/>
              </w:rPr>
            </w:pPr>
            <w:r w:rsidRPr="000650B8">
              <w:rPr>
                <w:rFonts w:ascii="Myriad Pro" w:hAnsi="Myriad Pro"/>
                <w:b/>
                <w:lang w:val="bs-Latn-BA"/>
              </w:rPr>
              <w:t>Sektorski cilj</w:t>
            </w:r>
          </w:p>
        </w:tc>
        <w:tc>
          <w:tcPr>
            <w:tcW w:w="3969" w:type="dxa"/>
            <w:shd w:val="clear" w:color="auto" w:fill="C6D9F1"/>
          </w:tcPr>
          <w:p w14:paraId="377BCC46" w14:textId="77777777" w:rsidR="004F4EE7" w:rsidRPr="000650B8" w:rsidRDefault="004F4EE7" w:rsidP="000B6E58">
            <w:pPr>
              <w:rPr>
                <w:rFonts w:ascii="Myriad Pro" w:hAnsi="Myriad Pro"/>
                <w:b/>
                <w:lang w:val="bs-Latn-BA"/>
              </w:rPr>
            </w:pPr>
            <w:r>
              <w:rPr>
                <w:rFonts w:ascii="Myriad Pro" w:hAnsi="Myriad Pro"/>
                <w:b/>
                <w:lang w:val="bs-Latn-BA"/>
              </w:rPr>
              <w:t>Očekivani ishod</w:t>
            </w:r>
          </w:p>
        </w:tc>
        <w:tc>
          <w:tcPr>
            <w:tcW w:w="2834" w:type="dxa"/>
            <w:shd w:val="clear" w:color="auto" w:fill="C6D9F1"/>
          </w:tcPr>
          <w:p w14:paraId="23586123" w14:textId="77777777" w:rsidR="004F4EE7" w:rsidRPr="000650B8" w:rsidRDefault="004F4EE7" w:rsidP="000B6E58">
            <w:pPr>
              <w:rPr>
                <w:rFonts w:ascii="Myriad Pro" w:hAnsi="Myriad Pro"/>
                <w:b/>
                <w:lang w:val="bs-Latn-BA"/>
              </w:rPr>
            </w:pPr>
            <w:r>
              <w:rPr>
                <w:rFonts w:ascii="Myriad Pro" w:hAnsi="Myriad Pro"/>
                <w:b/>
                <w:lang w:val="bs-Latn-BA"/>
              </w:rPr>
              <w:t>Indikator</w:t>
            </w:r>
          </w:p>
        </w:tc>
      </w:tr>
      <w:tr w:rsidR="004F4EE7" w:rsidRPr="000650B8" w14:paraId="138C3870" w14:textId="77777777" w:rsidTr="00017A93">
        <w:tc>
          <w:tcPr>
            <w:tcW w:w="2547" w:type="dxa"/>
          </w:tcPr>
          <w:p w14:paraId="7E4BE581" w14:textId="606FD9A1" w:rsidR="004F4EE7" w:rsidRPr="006F463C" w:rsidRDefault="00274ED0" w:rsidP="00274ED0">
            <w:pPr>
              <w:spacing w:after="100"/>
              <w:rPr>
                <w:rFonts w:cstheme="minorHAnsi"/>
                <w:b/>
                <w:bCs/>
                <w:i/>
                <w:iCs/>
              </w:rPr>
            </w:pPr>
            <w:r w:rsidRPr="00274ED0">
              <w:rPr>
                <w:rFonts w:asciiTheme="minorHAnsi" w:hAnsiTheme="minorHAnsi" w:cstheme="minorHAnsi"/>
                <w:b/>
              </w:rPr>
              <w:t>2.1. Unaprijeđen kvalitet i dostupnost komunalne infrastrukture (vodovod, kanalizacija i putna infrastruktura) na cijelom području opštine do 2020. godine</w:t>
            </w:r>
          </w:p>
        </w:tc>
        <w:tc>
          <w:tcPr>
            <w:tcW w:w="3969" w:type="dxa"/>
          </w:tcPr>
          <w:p w14:paraId="40D3A34F" w14:textId="77777777" w:rsidR="00274ED0" w:rsidRPr="00274ED0" w:rsidRDefault="00274ED0" w:rsidP="009901CE">
            <w:pPr>
              <w:numPr>
                <w:ilvl w:val="0"/>
                <w:numId w:val="15"/>
              </w:numPr>
              <w:tabs>
                <w:tab w:val="clear" w:pos="1080"/>
              </w:tabs>
              <w:ind w:left="173" w:firstLine="0"/>
              <w:jc w:val="both"/>
              <w:rPr>
                <w:rFonts w:asciiTheme="minorHAnsi" w:hAnsiTheme="minorHAnsi" w:cstheme="minorHAnsi"/>
                <w:noProof/>
                <w:lang w:val="hr-HR"/>
              </w:rPr>
            </w:pPr>
            <w:r w:rsidRPr="00274ED0">
              <w:rPr>
                <w:rFonts w:asciiTheme="minorHAnsi" w:hAnsiTheme="minorHAnsi" w:cstheme="minorHAnsi"/>
                <w:noProof/>
                <w:lang w:val="hr-HR"/>
              </w:rPr>
              <w:t xml:space="preserve">90% domaćinstava ima redovno snabdijevanje pitkom vodom do 2020. godine </w:t>
            </w:r>
          </w:p>
          <w:p w14:paraId="4786A599" w14:textId="77777777" w:rsidR="00C41872" w:rsidRPr="002B108C" w:rsidRDefault="00C41872" w:rsidP="00C41872">
            <w:pPr>
              <w:numPr>
                <w:ilvl w:val="0"/>
                <w:numId w:val="15"/>
              </w:numPr>
              <w:tabs>
                <w:tab w:val="clear" w:pos="1080"/>
              </w:tabs>
              <w:ind w:left="173" w:firstLine="0"/>
              <w:jc w:val="both"/>
              <w:rPr>
                <w:rFonts w:asciiTheme="minorHAnsi" w:hAnsiTheme="minorHAnsi" w:cstheme="minorHAnsi"/>
                <w:noProof/>
                <w:lang w:val="hr-HR"/>
              </w:rPr>
            </w:pPr>
            <w:r w:rsidRPr="002B108C">
              <w:rPr>
                <w:rFonts w:asciiTheme="minorHAnsi" w:hAnsiTheme="minorHAnsi" w:cstheme="minorHAnsi"/>
                <w:noProof/>
                <w:lang w:val="hr-HR"/>
              </w:rPr>
              <w:t>Povećan procenat priključenih korisnika na kanalizacionu mrežu na 25% u slučaju stanovništva i 15% u slučaju privrednih subjekata do 2020. u odnosu na 2017. godinu</w:t>
            </w:r>
          </w:p>
          <w:p w14:paraId="138BA6E4" w14:textId="77777777" w:rsidR="00C41872" w:rsidRPr="00174A8B" w:rsidRDefault="00C41872" w:rsidP="00C41872">
            <w:pPr>
              <w:numPr>
                <w:ilvl w:val="0"/>
                <w:numId w:val="15"/>
              </w:numPr>
              <w:tabs>
                <w:tab w:val="clear" w:pos="1080"/>
              </w:tabs>
              <w:ind w:left="173" w:firstLine="0"/>
              <w:jc w:val="both"/>
              <w:rPr>
                <w:rFonts w:ascii="Myriad Pro" w:hAnsi="Myriad Pro"/>
                <w:color w:val="FF0000"/>
                <w:lang w:val="bs-Latn-BA"/>
              </w:rPr>
            </w:pPr>
            <w:r w:rsidRPr="002B108C">
              <w:rPr>
                <w:rFonts w:asciiTheme="minorHAnsi" w:hAnsiTheme="minorHAnsi" w:cstheme="minorHAnsi"/>
                <w:noProof/>
                <w:lang w:val="hr-HR"/>
              </w:rPr>
              <w:t>Smanjen broj direktnih kanalizacionih ispusta u vodotoke i zemljište za 50% do 2020. godine</w:t>
            </w:r>
          </w:p>
          <w:p w14:paraId="21E64CCC" w14:textId="77777777" w:rsidR="00274ED0" w:rsidRPr="00274ED0" w:rsidRDefault="00274ED0" w:rsidP="009901CE">
            <w:pPr>
              <w:numPr>
                <w:ilvl w:val="0"/>
                <w:numId w:val="15"/>
              </w:numPr>
              <w:tabs>
                <w:tab w:val="clear" w:pos="1080"/>
              </w:tabs>
              <w:ind w:left="173" w:firstLine="0"/>
              <w:jc w:val="both"/>
              <w:rPr>
                <w:rFonts w:asciiTheme="minorHAnsi" w:hAnsiTheme="minorHAnsi" w:cstheme="minorHAnsi"/>
                <w:noProof/>
                <w:lang w:val="hr-HR"/>
              </w:rPr>
            </w:pPr>
            <w:r w:rsidRPr="00274ED0">
              <w:rPr>
                <w:rFonts w:asciiTheme="minorHAnsi" w:hAnsiTheme="minorHAnsi" w:cstheme="minorHAnsi"/>
                <w:noProof/>
                <w:lang w:val="hr-HR"/>
              </w:rPr>
              <w:t xml:space="preserve">Veći stepen zadovoljstva stanovništva saobraćajnom infrastrukturom za 10% do 2020. u odnosu na 2017. </w:t>
            </w:r>
          </w:p>
          <w:p w14:paraId="08749A27" w14:textId="327397A0" w:rsidR="004F4EE7" w:rsidRPr="00DE6123" w:rsidRDefault="00274ED0" w:rsidP="009901CE">
            <w:pPr>
              <w:numPr>
                <w:ilvl w:val="0"/>
                <w:numId w:val="15"/>
              </w:numPr>
              <w:tabs>
                <w:tab w:val="clear" w:pos="1080"/>
              </w:tabs>
              <w:ind w:left="173" w:firstLine="0"/>
              <w:jc w:val="both"/>
              <w:rPr>
                <w:rFonts w:ascii="Myriad Pro" w:hAnsi="Myriad Pro"/>
                <w:color w:val="FF0000"/>
                <w:lang w:val="bs-Latn-BA"/>
              </w:rPr>
            </w:pPr>
            <w:r w:rsidRPr="00274ED0">
              <w:rPr>
                <w:rFonts w:asciiTheme="minorHAnsi" w:hAnsiTheme="minorHAnsi" w:cstheme="minorHAnsi"/>
                <w:noProof/>
                <w:lang w:val="hr-HR"/>
              </w:rPr>
              <w:t xml:space="preserve">Unaprijeđeno snabdijevanje el. energijom za X% stanovnika opštine </w:t>
            </w:r>
            <w:r w:rsidR="00313EF7">
              <w:rPr>
                <w:rFonts w:asciiTheme="minorHAnsi" w:hAnsiTheme="minorHAnsi" w:cstheme="minorHAnsi"/>
                <w:noProof/>
              </w:rPr>
              <w:t xml:space="preserve">i </w:t>
            </w:r>
            <w:r w:rsidR="00313EF7" w:rsidRPr="00313EF7">
              <w:rPr>
                <w:rFonts w:asciiTheme="minorHAnsi" w:hAnsiTheme="minorHAnsi" w:cstheme="minorHAnsi"/>
                <w:noProof/>
                <w:highlight w:val="cyan"/>
              </w:rPr>
              <w:t>X privrednih subjekata</w:t>
            </w:r>
            <w:r w:rsidR="00313EF7">
              <w:rPr>
                <w:rFonts w:asciiTheme="minorHAnsi" w:hAnsiTheme="minorHAnsi" w:cstheme="minorHAnsi"/>
                <w:noProof/>
              </w:rPr>
              <w:t xml:space="preserve"> </w:t>
            </w:r>
            <w:r w:rsidRPr="00274ED0">
              <w:rPr>
                <w:rFonts w:asciiTheme="minorHAnsi" w:hAnsiTheme="minorHAnsi" w:cstheme="minorHAnsi"/>
                <w:noProof/>
                <w:lang w:val="hr-HR"/>
              </w:rPr>
              <w:t>do 2020. u odnosu na 2017.</w:t>
            </w:r>
          </w:p>
          <w:p w14:paraId="3D5DCE5A" w14:textId="542BDBF3" w:rsidR="00495534" w:rsidRPr="000650B8" w:rsidRDefault="00DE6123" w:rsidP="00CF1A5B">
            <w:pPr>
              <w:numPr>
                <w:ilvl w:val="0"/>
                <w:numId w:val="15"/>
              </w:numPr>
              <w:tabs>
                <w:tab w:val="clear" w:pos="1080"/>
              </w:tabs>
              <w:ind w:left="173" w:firstLine="0"/>
              <w:jc w:val="both"/>
              <w:rPr>
                <w:rFonts w:ascii="Myriad Pro" w:hAnsi="Myriad Pro"/>
                <w:color w:val="FF0000"/>
                <w:lang w:val="bs-Latn-BA"/>
              </w:rPr>
            </w:pPr>
            <w:r w:rsidRPr="00DE6123">
              <w:rPr>
                <w:rFonts w:asciiTheme="minorHAnsi" w:hAnsiTheme="minorHAnsi" w:cstheme="minorHAnsi"/>
                <w:noProof/>
                <w:lang w:val="hr-HR"/>
              </w:rPr>
              <w:t>Zaštićeno X saobraćajnica, stambenih i poslovnih objekata od klizišta do 2021.</w:t>
            </w:r>
          </w:p>
        </w:tc>
        <w:tc>
          <w:tcPr>
            <w:tcW w:w="2834" w:type="dxa"/>
          </w:tcPr>
          <w:p w14:paraId="260B2255" w14:textId="77777777" w:rsidR="00274ED0" w:rsidRPr="00274ED0" w:rsidRDefault="00274ED0" w:rsidP="009901CE">
            <w:pPr>
              <w:numPr>
                <w:ilvl w:val="0"/>
                <w:numId w:val="15"/>
              </w:numPr>
              <w:tabs>
                <w:tab w:val="clear" w:pos="1080"/>
              </w:tabs>
              <w:spacing w:before="60"/>
              <w:ind w:left="260" w:hanging="284"/>
              <w:rPr>
                <w:rFonts w:asciiTheme="minorHAnsi" w:hAnsiTheme="minorHAnsi" w:cstheme="minorHAnsi"/>
                <w:noProof/>
                <w:lang w:val="hr-HR"/>
              </w:rPr>
            </w:pPr>
            <w:r w:rsidRPr="00274ED0">
              <w:rPr>
                <w:rFonts w:asciiTheme="minorHAnsi" w:hAnsiTheme="minorHAnsi" w:cstheme="minorHAnsi"/>
                <w:noProof/>
                <w:lang w:val="hr-HR"/>
              </w:rPr>
              <w:t xml:space="preserve">Broj domaćinstava koja imaju redovno snabdijevanje pitkom vodom </w:t>
            </w:r>
          </w:p>
          <w:p w14:paraId="22E0DDC8" w14:textId="77777777" w:rsidR="00C41872" w:rsidRPr="002B108C" w:rsidRDefault="00C41872" w:rsidP="00C41872">
            <w:pPr>
              <w:numPr>
                <w:ilvl w:val="0"/>
                <w:numId w:val="15"/>
              </w:numPr>
              <w:tabs>
                <w:tab w:val="clear" w:pos="1080"/>
              </w:tabs>
              <w:spacing w:before="60"/>
              <w:ind w:left="260" w:hanging="284"/>
              <w:rPr>
                <w:rFonts w:asciiTheme="minorHAnsi" w:hAnsiTheme="minorHAnsi" w:cstheme="minorHAnsi"/>
                <w:noProof/>
                <w:lang w:val="hr-HR"/>
              </w:rPr>
            </w:pPr>
            <w:r w:rsidRPr="002B108C">
              <w:rPr>
                <w:rFonts w:asciiTheme="minorHAnsi" w:hAnsiTheme="minorHAnsi" w:cstheme="minorHAnsi"/>
                <w:noProof/>
                <w:lang w:val="hr-HR"/>
              </w:rPr>
              <w:t>Broj korisnika kanalizacione mreže</w:t>
            </w:r>
          </w:p>
          <w:p w14:paraId="27A8F43C" w14:textId="77777777" w:rsidR="00C41872" w:rsidRPr="00174A8B" w:rsidRDefault="00C41872" w:rsidP="00C41872">
            <w:pPr>
              <w:numPr>
                <w:ilvl w:val="0"/>
                <w:numId w:val="15"/>
              </w:numPr>
              <w:tabs>
                <w:tab w:val="clear" w:pos="1080"/>
              </w:tabs>
              <w:spacing w:before="60"/>
              <w:ind w:left="260" w:hanging="284"/>
              <w:rPr>
                <w:rFonts w:ascii="Myriad Pro" w:hAnsi="Myriad Pro"/>
                <w:lang w:val="bs-Latn-BA"/>
              </w:rPr>
            </w:pPr>
            <w:r w:rsidRPr="002B108C">
              <w:rPr>
                <w:rFonts w:asciiTheme="minorHAnsi" w:hAnsiTheme="minorHAnsi" w:cstheme="minorHAnsi"/>
                <w:noProof/>
                <w:lang w:val="hr-HR"/>
              </w:rPr>
              <w:t>Broj direktnih kanalizacionih ispusta u vodotoke i zemljište</w:t>
            </w:r>
          </w:p>
          <w:p w14:paraId="6DBA071A" w14:textId="77777777" w:rsidR="00274ED0" w:rsidRPr="00274ED0" w:rsidRDefault="00274ED0" w:rsidP="009901CE">
            <w:pPr>
              <w:numPr>
                <w:ilvl w:val="0"/>
                <w:numId w:val="15"/>
              </w:numPr>
              <w:tabs>
                <w:tab w:val="clear" w:pos="1080"/>
              </w:tabs>
              <w:spacing w:before="60"/>
              <w:ind w:left="260" w:hanging="284"/>
              <w:rPr>
                <w:rFonts w:asciiTheme="minorHAnsi" w:hAnsiTheme="minorHAnsi" w:cstheme="minorHAnsi"/>
                <w:noProof/>
                <w:lang w:val="hr-HR"/>
              </w:rPr>
            </w:pPr>
            <w:r w:rsidRPr="00274ED0">
              <w:rPr>
                <w:rFonts w:asciiTheme="minorHAnsi" w:hAnsiTheme="minorHAnsi" w:cstheme="minorHAnsi"/>
                <w:noProof/>
                <w:lang w:val="hr-HR"/>
              </w:rPr>
              <w:t>Stepen zadovoljstva stanovništva saobraćajnom infrastrukturom</w:t>
            </w:r>
          </w:p>
          <w:p w14:paraId="34DDCC6F" w14:textId="77777777" w:rsidR="004F4EE7" w:rsidRPr="00DE6123" w:rsidRDefault="00274ED0" w:rsidP="009901CE">
            <w:pPr>
              <w:numPr>
                <w:ilvl w:val="0"/>
                <w:numId w:val="15"/>
              </w:numPr>
              <w:tabs>
                <w:tab w:val="clear" w:pos="1080"/>
              </w:tabs>
              <w:spacing w:before="60"/>
              <w:ind w:left="260" w:hanging="284"/>
              <w:rPr>
                <w:rFonts w:ascii="Myriad Pro" w:hAnsi="Myriad Pro"/>
                <w:color w:val="FF0000"/>
                <w:lang w:val="bs-Latn-BA"/>
              </w:rPr>
            </w:pPr>
            <w:r w:rsidRPr="00274ED0">
              <w:rPr>
                <w:rFonts w:asciiTheme="minorHAnsi" w:hAnsiTheme="minorHAnsi" w:cstheme="minorHAnsi"/>
                <w:noProof/>
                <w:lang w:val="hr-HR"/>
              </w:rPr>
              <w:t>Broj stanovnika za koje je unapređeno snabdijevanje el. energijom</w:t>
            </w:r>
          </w:p>
          <w:p w14:paraId="0C00BE2B" w14:textId="6E2780A1" w:rsidR="0014277B" w:rsidRPr="00CF1A5B" w:rsidRDefault="00DE6123" w:rsidP="00CF1A5B">
            <w:pPr>
              <w:numPr>
                <w:ilvl w:val="0"/>
                <w:numId w:val="15"/>
              </w:numPr>
              <w:tabs>
                <w:tab w:val="clear" w:pos="1080"/>
              </w:tabs>
              <w:spacing w:before="60"/>
              <w:ind w:left="260" w:hanging="284"/>
              <w:rPr>
                <w:rFonts w:ascii="Myriad Pro" w:hAnsi="Myriad Pro"/>
                <w:color w:val="FF0000"/>
                <w:lang w:val="bs-Latn-BA"/>
              </w:rPr>
            </w:pPr>
            <w:r w:rsidRPr="00DE6123">
              <w:rPr>
                <w:rFonts w:asciiTheme="minorHAnsi" w:hAnsiTheme="minorHAnsi" w:cstheme="minorHAnsi"/>
                <w:noProof/>
                <w:lang w:val="hr-HR"/>
              </w:rPr>
              <w:t>Broj saobraćajnica, stambenih i poslovnih objekata zaštićenih od klizišta</w:t>
            </w:r>
          </w:p>
        </w:tc>
      </w:tr>
      <w:tr w:rsidR="004F4EE7" w:rsidRPr="000650B8" w14:paraId="7E196DE5" w14:textId="77777777" w:rsidTr="00017A93">
        <w:tc>
          <w:tcPr>
            <w:tcW w:w="2547" w:type="dxa"/>
          </w:tcPr>
          <w:p w14:paraId="055DD8BD" w14:textId="6673D1BC" w:rsidR="004F4EE7" w:rsidRPr="00E02769" w:rsidRDefault="00274ED0" w:rsidP="00274ED0">
            <w:pPr>
              <w:spacing w:after="100"/>
              <w:rPr>
                <w:rFonts w:ascii="Myriad Pro" w:hAnsi="Myriad Pro"/>
                <w:smallCaps/>
                <w:color w:val="FF0000"/>
                <w:lang w:val="en-US"/>
              </w:rPr>
            </w:pPr>
            <w:r w:rsidRPr="00274ED0">
              <w:rPr>
                <w:rFonts w:asciiTheme="minorHAnsi" w:hAnsiTheme="minorHAnsi" w:cstheme="minorHAnsi"/>
                <w:b/>
              </w:rPr>
              <w:t>2.2. Unaprijeđena obrazovna, kulturna i sportska infrastruktura do 2020. godine</w:t>
            </w:r>
          </w:p>
        </w:tc>
        <w:tc>
          <w:tcPr>
            <w:tcW w:w="3969" w:type="dxa"/>
          </w:tcPr>
          <w:p w14:paraId="058770D8" w14:textId="77777777" w:rsidR="00274ED0" w:rsidRPr="00274ED0" w:rsidRDefault="00274ED0" w:rsidP="009901CE">
            <w:pPr>
              <w:numPr>
                <w:ilvl w:val="0"/>
                <w:numId w:val="15"/>
              </w:numPr>
              <w:tabs>
                <w:tab w:val="clear" w:pos="1080"/>
              </w:tabs>
              <w:ind w:left="173" w:firstLine="0"/>
              <w:jc w:val="both"/>
              <w:rPr>
                <w:rFonts w:asciiTheme="minorHAnsi" w:hAnsiTheme="minorHAnsi" w:cstheme="minorHAnsi"/>
                <w:noProof/>
                <w:lang w:val="hr-HR"/>
              </w:rPr>
            </w:pPr>
            <w:r w:rsidRPr="00274ED0">
              <w:rPr>
                <w:rFonts w:asciiTheme="minorHAnsi" w:hAnsiTheme="minorHAnsi" w:cstheme="minorHAnsi"/>
                <w:noProof/>
                <w:lang w:val="hr-HR"/>
              </w:rPr>
              <w:t>Do 2020. godine najmanje 50% učenika srednjih i 50% učenika osnovnih škola pohađa nastavu u uslovima koji su unapređeni u odnosu na 2017. godinu</w:t>
            </w:r>
          </w:p>
          <w:p w14:paraId="3800C923" w14:textId="77777777" w:rsidR="00274ED0" w:rsidRPr="00274ED0" w:rsidRDefault="00274ED0" w:rsidP="009901CE">
            <w:pPr>
              <w:numPr>
                <w:ilvl w:val="0"/>
                <w:numId w:val="15"/>
              </w:numPr>
              <w:tabs>
                <w:tab w:val="clear" w:pos="1080"/>
              </w:tabs>
              <w:ind w:left="173" w:firstLine="0"/>
              <w:jc w:val="both"/>
              <w:rPr>
                <w:rFonts w:asciiTheme="minorHAnsi" w:hAnsiTheme="minorHAnsi" w:cstheme="minorHAnsi"/>
                <w:noProof/>
                <w:lang w:val="hr-HR"/>
              </w:rPr>
            </w:pPr>
            <w:r w:rsidRPr="00274ED0">
              <w:rPr>
                <w:rFonts w:asciiTheme="minorHAnsi" w:hAnsiTheme="minorHAnsi" w:cstheme="minorHAnsi"/>
                <w:noProof/>
                <w:lang w:val="hr-HR"/>
              </w:rPr>
              <w:t>Povećan broj kulturnih i sportskih događaja za 10% godišnje</w:t>
            </w:r>
          </w:p>
          <w:p w14:paraId="0BB8D054" w14:textId="77777777" w:rsidR="004F4EE7" w:rsidRPr="000F75E9" w:rsidRDefault="00274ED0" w:rsidP="009901CE">
            <w:pPr>
              <w:numPr>
                <w:ilvl w:val="0"/>
                <w:numId w:val="15"/>
              </w:numPr>
              <w:tabs>
                <w:tab w:val="clear" w:pos="1080"/>
              </w:tabs>
              <w:ind w:left="173" w:firstLine="0"/>
              <w:jc w:val="both"/>
              <w:rPr>
                <w:rFonts w:ascii="Myriad Pro" w:hAnsi="Myriad Pro"/>
                <w:lang w:val="bs-Latn-BA"/>
              </w:rPr>
            </w:pPr>
            <w:r w:rsidRPr="00274ED0">
              <w:rPr>
                <w:rFonts w:asciiTheme="minorHAnsi" w:hAnsiTheme="minorHAnsi" w:cstheme="minorHAnsi"/>
                <w:noProof/>
                <w:lang w:val="hr-HR"/>
              </w:rPr>
              <w:t>Povećan broj aktivnih članova kulturnih i sportskih društava za 5% godišnje</w:t>
            </w:r>
          </w:p>
          <w:p w14:paraId="2C064A5E" w14:textId="77777777" w:rsidR="000F75E9" w:rsidRPr="00030722" w:rsidRDefault="000F75E9" w:rsidP="009901CE">
            <w:pPr>
              <w:numPr>
                <w:ilvl w:val="0"/>
                <w:numId w:val="15"/>
              </w:numPr>
              <w:tabs>
                <w:tab w:val="clear" w:pos="1080"/>
              </w:tabs>
              <w:ind w:left="173" w:firstLine="0"/>
              <w:jc w:val="both"/>
              <w:rPr>
                <w:rFonts w:ascii="Myriad Pro" w:hAnsi="Myriad Pro"/>
                <w:lang w:val="bs-Latn-BA"/>
              </w:rPr>
            </w:pPr>
            <w:r w:rsidRPr="000F75E9">
              <w:rPr>
                <w:rFonts w:asciiTheme="minorHAnsi" w:hAnsiTheme="minorHAnsi" w:cstheme="minorHAnsi"/>
                <w:noProof/>
                <w:highlight w:val="cyan"/>
                <w:lang w:val="hr-HR"/>
              </w:rPr>
              <w:t>Relevantne ciljne grupe građana zadovoljne uređenjem centralnog spomen obilježja do 2021.</w:t>
            </w:r>
          </w:p>
          <w:p w14:paraId="5E904CF0" w14:textId="085FD1FE" w:rsidR="00030722" w:rsidRPr="000650B8" w:rsidRDefault="00030722" w:rsidP="009901CE">
            <w:pPr>
              <w:numPr>
                <w:ilvl w:val="0"/>
                <w:numId w:val="15"/>
              </w:numPr>
              <w:tabs>
                <w:tab w:val="clear" w:pos="1080"/>
              </w:tabs>
              <w:ind w:left="173" w:firstLine="0"/>
              <w:jc w:val="both"/>
              <w:rPr>
                <w:rFonts w:ascii="Myriad Pro" w:hAnsi="Myriad Pro"/>
                <w:lang w:val="bs-Latn-BA"/>
              </w:rPr>
            </w:pPr>
            <w:r w:rsidRPr="00495534">
              <w:rPr>
                <w:rFonts w:asciiTheme="minorHAnsi" w:hAnsiTheme="minorHAnsi" w:cstheme="minorHAnsi"/>
                <w:noProof/>
                <w:highlight w:val="cyan"/>
                <w:lang w:val="hr-HR"/>
              </w:rPr>
              <w:t>Najmanje 300 posjetilaca muzeja i zgrade Đerinac godišnje</w:t>
            </w:r>
          </w:p>
        </w:tc>
        <w:tc>
          <w:tcPr>
            <w:tcW w:w="2834" w:type="dxa"/>
          </w:tcPr>
          <w:p w14:paraId="2C77200F" w14:textId="77777777" w:rsidR="00017A93" w:rsidRPr="00017A93" w:rsidRDefault="00017A93" w:rsidP="009901CE">
            <w:pPr>
              <w:numPr>
                <w:ilvl w:val="0"/>
                <w:numId w:val="15"/>
              </w:numPr>
              <w:tabs>
                <w:tab w:val="clear" w:pos="1080"/>
              </w:tabs>
              <w:spacing w:before="60"/>
              <w:ind w:left="260" w:hanging="284"/>
              <w:rPr>
                <w:rFonts w:asciiTheme="minorHAnsi" w:hAnsiTheme="minorHAnsi" w:cstheme="minorHAnsi"/>
                <w:noProof/>
                <w:lang w:val="hr-HR"/>
              </w:rPr>
            </w:pPr>
            <w:r w:rsidRPr="00017A93">
              <w:rPr>
                <w:rFonts w:asciiTheme="minorHAnsi" w:hAnsiTheme="minorHAnsi" w:cstheme="minorHAnsi"/>
                <w:noProof/>
                <w:lang w:val="hr-HR"/>
              </w:rPr>
              <w:t xml:space="preserve">Broj učenika srednjih osnovnih škola koji pohađaju nastavu u unapređenim uslovima </w:t>
            </w:r>
          </w:p>
          <w:p w14:paraId="7115B0BE" w14:textId="77777777" w:rsidR="00017A93" w:rsidRPr="00017A93" w:rsidRDefault="00017A93" w:rsidP="009901CE">
            <w:pPr>
              <w:numPr>
                <w:ilvl w:val="0"/>
                <w:numId w:val="15"/>
              </w:numPr>
              <w:tabs>
                <w:tab w:val="clear" w:pos="1080"/>
              </w:tabs>
              <w:spacing w:before="60"/>
              <w:ind w:left="260" w:hanging="284"/>
              <w:rPr>
                <w:rFonts w:asciiTheme="minorHAnsi" w:hAnsiTheme="minorHAnsi" w:cstheme="minorHAnsi"/>
                <w:noProof/>
                <w:lang w:val="hr-HR"/>
              </w:rPr>
            </w:pPr>
            <w:r w:rsidRPr="00017A93">
              <w:rPr>
                <w:rFonts w:asciiTheme="minorHAnsi" w:hAnsiTheme="minorHAnsi" w:cstheme="minorHAnsi"/>
                <w:noProof/>
                <w:lang w:val="hr-HR"/>
              </w:rPr>
              <w:t>Broj kulturnih i sportskih događaja</w:t>
            </w:r>
          </w:p>
          <w:p w14:paraId="5AEB8167" w14:textId="77777777" w:rsidR="004F4EE7" w:rsidRPr="000F75E9" w:rsidRDefault="00017A93" w:rsidP="009901CE">
            <w:pPr>
              <w:numPr>
                <w:ilvl w:val="0"/>
                <w:numId w:val="15"/>
              </w:numPr>
              <w:tabs>
                <w:tab w:val="clear" w:pos="1080"/>
              </w:tabs>
              <w:spacing w:before="60"/>
              <w:ind w:left="260" w:hanging="284"/>
              <w:rPr>
                <w:rFonts w:ascii="Myriad Pro" w:hAnsi="Myriad Pro"/>
                <w:lang w:val="bs-Latn-BA"/>
              </w:rPr>
            </w:pPr>
            <w:r w:rsidRPr="00017A93">
              <w:rPr>
                <w:rFonts w:asciiTheme="minorHAnsi" w:hAnsiTheme="minorHAnsi" w:cstheme="minorHAnsi"/>
                <w:noProof/>
                <w:lang w:val="hr-HR"/>
              </w:rPr>
              <w:t>Broj aktivnih članova kulturnih i sportskih društava</w:t>
            </w:r>
          </w:p>
          <w:p w14:paraId="733D2839" w14:textId="77777777" w:rsidR="00030722" w:rsidRPr="00030722" w:rsidRDefault="000F75E9" w:rsidP="009901CE">
            <w:pPr>
              <w:numPr>
                <w:ilvl w:val="0"/>
                <w:numId w:val="15"/>
              </w:numPr>
              <w:tabs>
                <w:tab w:val="clear" w:pos="1080"/>
              </w:tabs>
              <w:spacing w:before="60"/>
              <w:ind w:left="260" w:hanging="284"/>
              <w:rPr>
                <w:rFonts w:ascii="Myriad Pro" w:hAnsi="Myriad Pro"/>
                <w:lang w:val="bs-Latn-BA"/>
              </w:rPr>
            </w:pPr>
            <w:r w:rsidRPr="000F75E9">
              <w:rPr>
                <w:rFonts w:asciiTheme="minorHAnsi" w:hAnsiTheme="minorHAnsi" w:cstheme="minorHAnsi"/>
                <w:noProof/>
                <w:highlight w:val="cyan"/>
                <w:lang w:val="hr-HR"/>
              </w:rPr>
              <w:t xml:space="preserve">Stepen zadovoljstva relevantnih ciljnih grupa građana uređenjem </w:t>
            </w:r>
          </w:p>
          <w:p w14:paraId="7ABB4A2C" w14:textId="1F1F39FA" w:rsidR="000F75E9" w:rsidRPr="000650B8" w:rsidRDefault="00030722" w:rsidP="009901CE">
            <w:pPr>
              <w:numPr>
                <w:ilvl w:val="0"/>
                <w:numId w:val="15"/>
              </w:numPr>
              <w:tabs>
                <w:tab w:val="clear" w:pos="1080"/>
              </w:tabs>
              <w:spacing w:before="60"/>
              <w:ind w:left="260" w:hanging="284"/>
              <w:rPr>
                <w:rFonts w:ascii="Myriad Pro" w:hAnsi="Myriad Pro"/>
                <w:lang w:val="bs-Latn-BA"/>
              </w:rPr>
            </w:pPr>
            <w:r w:rsidRPr="0014277B">
              <w:rPr>
                <w:rFonts w:asciiTheme="minorHAnsi" w:hAnsiTheme="minorHAnsi" w:cstheme="minorHAnsi"/>
                <w:noProof/>
                <w:highlight w:val="cyan"/>
                <w:lang w:val="hr-HR"/>
              </w:rPr>
              <w:lastRenderedPageBreak/>
              <w:t>Broj posjetilaca muzeja i zgrade Đerinac godišnje</w:t>
            </w:r>
            <w:r w:rsidRPr="000F75E9">
              <w:rPr>
                <w:rFonts w:asciiTheme="minorHAnsi" w:hAnsiTheme="minorHAnsi" w:cstheme="minorHAnsi"/>
                <w:noProof/>
                <w:highlight w:val="cyan"/>
                <w:lang w:val="hr-HR"/>
              </w:rPr>
              <w:t xml:space="preserve"> </w:t>
            </w:r>
            <w:r w:rsidR="000F75E9" w:rsidRPr="000F75E9">
              <w:rPr>
                <w:rFonts w:asciiTheme="minorHAnsi" w:hAnsiTheme="minorHAnsi" w:cstheme="minorHAnsi"/>
                <w:noProof/>
                <w:highlight w:val="cyan"/>
                <w:lang w:val="hr-HR"/>
              </w:rPr>
              <w:t>centralnog spomen obilježja</w:t>
            </w:r>
          </w:p>
        </w:tc>
      </w:tr>
      <w:tr w:rsidR="004F4EE7" w:rsidRPr="000650B8" w14:paraId="7DC730C0" w14:textId="77777777" w:rsidTr="00017A93">
        <w:tc>
          <w:tcPr>
            <w:tcW w:w="2547" w:type="dxa"/>
          </w:tcPr>
          <w:p w14:paraId="3099EA65" w14:textId="57590933" w:rsidR="004F4EE7" w:rsidRPr="00E02769" w:rsidRDefault="00017A93" w:rsidP="00017A93">
            <w:pPr>
              <w:spacing w:after="100"/>
              <w:rPr>
                <w:rFonts w:ascii="Myriad Pro" w:hAnsi="Myriad Pro"/>
                <w:color w:val="FF0000"/>
                <w:lang w:val="en-US"/>
              </w:rPr>
            </w:pPr>
            <w:r w:rsidRPr="00017A93">
              <w:rPr>
                <w:rFonts w:asciiTheme="minorHAnsi" w:hAnsiTheme="minorHAnsi" w:cstheme="minorHAnsi"/>
                <w:b/>
              </w:rPr>
              <w:lastRenderedPageBreak/>
              <w:t>2.3. Ojačani kapaciteti civilnog društva do 2020. godine</w:t>
            </w:r>
          </w:p>
        </w:tc>
        <w:tc>
          <w:tcPr>
            <w:tcW w:w="3969" w:type="dxa"/>
          </w:tcPr>
          <w:p w14:paraId="3B7F81C9" w14:textId="77777777" w:rsidR="00017A93" w:rsidRPr="00017A93" w:rsidRDefault="00017A93" w:rsidP="009901CE">
            <w:pPr>
              <w:numPr>
                <w:ilvl w:val="0"/>
                <w:numId w:val="15"/>
              </w:numPr>
              <w:tabs>
                <w:tab w:val="clear" w:pos="1080"/>
              </w:tabs>
              <w:ind w:left="173" w:firstLine="0"/>
              <w:jc w:val="both"/>
              <w:rPr>
                <w:rFonts w:asciiTheme="minorHAnsi" w:hAnsiTheme="minorHAnsi" w:cstheme="minorHAnsi"/>
                <w:noProof/>
                <w:lang w:val="hr-HR"/>
              </w:rPr>
            </w:pPr>
            <w:r w:rsidRPr="00017A93">
              <w:rPr>
                <w:rFonts w:asciiTheme="minorHAnsi" w:hAnsiTheme="minorHAnsi" w:cstheme="minorHAnsi"/>
                <w:noProof/>
                <w:lang w:val="hr-HR"/>
              </w:rPr>
              <w:t>Najmanje 3 projekta pripremljena od strane NVO na području opštine finansirana iz eksternih izvora do 2020.</w:t>
            </w:r>
          </w:p>
          <w:p w14:paraId="7272A8E7" w14:textId="55BA5BC1" w:rsidR="00495534" w:rsidRPr="000650B8" w:rsidRDefault="00017A93" w:rsidP="00030722">
            <w:pPr>
              <w:numPr>
                <w:ilvl w:val="0"/>
                <w:numId w:val="15"/>
              </w:numPr>
              <w:tabs>
                <w:tab w:val="clear" w:pos="1080"/>
              </w:tabs>
              <w:ind w:left="173" w:firstLine="0"/>
              <w:jc w:val="both"/>
              <w:rPr>
                <w:rFonts w:ascii="Myriad Pro" w:hAnsi="Myriad Pro"/>
                <w:color w:val="FF0000"/>
                <w:lang w:val="bs-Latn-BA"/>
              </w:rPr>
            </w:pPr>
            <w:r w:rsidRPr="00017A93">
              <w:rPr>
                <w:rFonts w:asciiTheme="minorHAnsi" w:hAnsiTheme="minorHAnsi" w:cstheme="minorHAnsi"/>
                <w:noProof/>
                <w:lang w:val="hr-HR"/>
              </w:rPr>
              <w:t>U oblasti društvenog razvoja najmanje jedna inicijativa godišnje implementirana u saradnji sa dijasporom</w:t>
            </w:r>
          </w:p>
        </w:tc>
        <w:tc>
          <w:tcPr>
            <w:tcW w:w="2834" w:type="dxa"/>
          </w:tcPr>
          <w:p w14:paraId="3AF9717A" w14:textId="77777777" w:rsidR="00017A93" w:rsidRPr="00017A93" w:rsidRDefault="00017A93" w:rsidP="009901CE">
            <w:pPr>
              <w:numPr>
                <w:ilvl w:val="0"/>
                <w:numId w:val="15"/>
              </w:numPr>
              <w:tabs>
                <w:tab w:val="clear" w:pos="1080"/>
              </w:tabs>
              <w:spacing w:before="60"/>
              <w:ind w:left="260" w:hanging="284"/>
              <w:rPr>
                <w:rFonts w:ascii="Myriad Pro" w:hAnsi="Myriad Pro"/>
                <w:color w:val="FF0000"/>
                <w:lang w:val="bs-Latn-BA"/>
              </w:rPr>
            </w:pPr>
            <w:r w:rsidRPr="00017A93">
              <w:rPr>
                <w:rFonts w:asciiTheme="minorHAnsi" w:hAnsiTheme="minorHAnsi" w:cstheme="minorHAnsi"/>
                <w:noProof/>
                <w:lang w:val="hr-HR"/>
              </w:rPr>
              <w:t>Broj projekta pripremljena od strane NVO na području opštine finansiranih iz eksternih izvora</w:t>
            </w:r>
          </w:p>
          <w:p w14:paraId="6B357B47" w14:textId="604F1A8C" w:rsidR="00495534" w:rsidRPr="00030722" w:rsidRDefault="00017A93" w:rsidP="00030722">
            <w:pPr>
              <w:numPr>
                <w:ilvl w:val="0"/>
                <w:numId w:val="15"/>
              </w:numPr>
              <w:tabs>
                <w:tab w:val="clear" w:pos="1080"/>
              </w:tabs>
              <w:spacing w:before="60"/>
              <w:ind w:left="260" w:hanging="284"/>
              <w:rPr>
                <w:rFonts w:ascii="Myriad Pro" w:hAnsi="Myriad Pro"/>
                <w:color w:val="FF0000"/>
                <w:lang w:val="bs-Latn-BA"/>
              </w:rPr>
            </w:pPr>
            <w:r w:rsidRPr="00017A93">
              <w:rPr>
                <w:rFonts w:asciiTheme="minorHAnsi" w:hAnsiTheme="minorHAnsi" w:cstheme="minorHAnsi"/>
                <w:noProof/>
                <w:lang w:val="hr-HR"/>
              </w:rPr>
              <w:t>Broj inicijativa godišnje implementiranih u saradnji sa dijasporom</w:t>
            </w:r>
          </w:p>
        </w:tc>
      </w:tr>
    </w:tbl>
    <w:p w14:paraId="5DA62D8F" w14:textId="765B53E5" w:rsidR="004F4EE7" w:rsidRDefault="004F4EE7" w:rsidP="004F4EE7">
      <w:pPr>
        <w:pStyle w:val="Heading3"/>
        <w:rPr>
          <w:rFonts w:eastAsia="TTE1FFBE00t00"/>
        </w:rPr>
      </w:pPr>
      <w:bookmarkStart w:id="35" w:name="_Toc488761245"/>
      <w:bookmarkStart w:id="36" w:name="_Toc496413385"/>
      <w:r>
        <w:rPr>
          <w:rFonts w:eastAsia="TTE1FFBE00t00"/>
        </w:rPr>
        <w:t>V.</w:t>
      </w:r>
      <w:r w:rsidR="00F67084">
        <w:rPr>
          <w:rFonts w:eastAsia="TTE1FFBE00t00"/>
        </w:rPr>
        <w:t>3</w:t>
      </w:r>
      <w:r>
        <w:rPr>
          <w:rFonts w:eastAsia="TTE1FFBE00t00"/>
        </w:rPr>
        <w:t>.2. Usklađenost</w:t>
      </w:r>
      <w:r w:rsidRPr="000650B8">
        <w:rPr>
          <w:rFonts w:eastAsia="TTE1FFBE00t00"/>
        </w:rPr>
        <w:t xml:space="preserve"> sa strateškim dokumentima viših nivoa</w:t>
      </w:r>
      <w:bookmarkEnd w:id="35"/>
      <w:bookmarkEnd w:id="36"/>
    </w:p>
    <w:p w14:paraId="4B2EB1DF" w14:textId="1A03CEBC" w:rsidR="004F4EE7" w:rsidRPr="006B7E67" w:rsidRDefault="004F4EE7" w:rsidP="004F4EE7">
      <w:pPr>
        <w:jc w:val="both"/>
        <w:rPr>
          <w:rFonts w:asciiTheme="minorHAnsi" w:eastAsiaTheme="minorHAnsi" w:hAnsiTheme="minorHAnsi" w:cstheme="minorHAnsi"/>
          <w:bCs/>
          <w:szCs w:val="26"/>
          <w:lang w:val="en-US"/>
        </w:rPr>
      </w:pPr>
      <w:r w:rsidRPr="001B79A1">
        <w:t>Elementi Strategije su u skladu sa</w:t>
      </w:r>
      <w:r>
        <w:t xml:space="preserve"> </w:t>
      </w:r>
      <w:r>
        <w:rPr>
          <w:rFonts w:asciiTheme="minorHAnsi" w:eastAsiaTheme="minorHAnsi" w:hAnsiTheme="minorHAnsi" w:cstheme="minorHAnsi"/>
          <w:bCs/>
          <w:szCs w:val="26"/>
          <w:lang w:val="en-US"/>
        </w:rPr>
        <w:t>S</w:t>
      </w:r>
      <w:r w:rsidRPr="006B7E67">
        <w:rPr>
          <w:rFonts w:asciiTheme="minorHAnsi" w:eastAsiaTheme="minorHAnsi" w:hAnsiTheme="minorHAnsi" w:cstheme="minorHAnsi"/>
          <w:bCs/>
          <w:szCs w:val="26"/>
          <w:lang w:val="en-US"/>
        </w:rPr>
        <w:t>trategij</w:t>
      </w:r>
      <w:r>
        <w:rPr>
          <w:rFonts w:asciiTheme="minorHAnsi" w:eastAsiaTheme="minorHAnsi" w:hAnsiTheme="minorHAnsi" w:cstheme="minorHAnsi"/>
          <w:bCs/>
          <w:szCs w:val="26"/>
          <w:lang w:val="en-US"/>
        </w:rPr>
        <w:t>om</w:t>
      </w:r>
      <w:r w:rsidRPr="006B7E67">
        <w:rPr>
          <w:rFonts w:asciiTheme="minorHAnsi" w:eastAsiaTheme="minorHAnsi" w:hAnsiTheme="minorHAnsi" w:cstheme="minorHAnsi"/>
          <w:bCs/>
          <w:szCs w:val="26"/>
          <w:lang w:val="en-US"/>
        </w:rPr>
        <w:t xml:space="preserve"> integralnog upravljanja vodama </w:t>
      </w:r>
      <w:r>
        <w:rPr>
          <w:rFonts w:asciiTheme="minorHAnsi" w:eastAsiaTheme="minorHAnsi" w:hAnsiTheme="minorHAnsi" w:cstheme="minorHAnsi"/>
          <w:bCs/>
          <w:szCs w:val="26"/>
          <w:lang w:val="en-US"/>
        </w:rPr>
        <w:t>R</w:t>
      </w:r>
      <w:r w:rsidRPr="006B7E67">
        <w:rPr>
          <w:rFonts w:asciiTheme="minorHAnsi" w:eastAsiaTheme="minorHAnsi" w:hAnsiTheme="minorHAnsi" w:cstheme="minorHAnsi"/>
          <w:bCs/>
          <w:szCs w:val="26"/>
          <w:lang w:val="en-US"/>
        </w:rPr>
        <w:t xml:space="preserve">epublike </w:t>
      </w:r>
      <w:r>
        <w:rPr>
          <w:rFonts w:asciiTheme="minorHAnsi" w:eastAsiaTheme="minorHAnsi" w:hAnsiTheme="minorHAnsi" w:cstheme="minorHAnsi"/>
          <w:bCs/>
          <w:szCs w:val="26"/>
          <w:lang w:val="en-US"/>
        </w:rPr>
        <w:t>S</w:t>
      </w:r>
      <w:r w:rsidRPr="006B7E67">
        <w:rPr>
          <w:rFonts w:asciiTheme="minorHAnsi" w:eastAsiaTheme="minorHAnsi" w:hAnsiTheme="minorHAnsi" w:cstheme="minorHAnsi"/>
          <w:bCs/>
          <w:szCs w:val="26"/>
          <w:lang w:val="en-US"/>
        </w:rPr>
        <w:t>rpske 2015–2024.</w:t>
      </w:r>
      <w:r>
        <w:rPr>
          <w:rFonts w:asciiTheme="minorHAnsi" w:eastAsiaTheme="minorHAnsi" w:hAnsiTheme="minorHAnsi" w:cstheme="minorHAnsi"/>
          <w:bCs/>
          <w:szCs w:val="26"/>
          <w:lang w:val="en-US"/>
        </w:rPr>
        <w:t xml:space="preserve"> to jest sa Opštim ciljevima: Uređenje i racionalno korištenje vodnih resursa Republike Srpske, Zaštita voda u okviru integralne zaštite i unapređenja životne sredine, </w:t>
      </w:r>
      <w:r w:rsidRPr="006B7E67">
        <w:rPr>
          <w:rFonts w:asciiTheme="minorHAnsi" w:eastAsiaTheme="minorHAnsi" w:hAnsiTheme="minorHAnsi" w:cstheme="minorHAnsi" w:hint="eastAsia"/>
          <w:bCs/>
          <w:szCs w:val="26"/>
          <w:lang w:val="en-US"/>
        </w:rPr>
        <w:t>Zaštita</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od</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štetnog</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djelovanja</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voda</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koje</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treba</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da</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bude</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usklađeno</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sa</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nivoom</w:t>
      </w:r>
      <w:r>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značajnosti</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urbanih</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privrednih</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saobraćajnih</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i</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drugih</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sistema</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koji</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se</w:t>
      </w:r>
      <w:r w:rsidRPr="006B7E67">
        <w:rPr>
          <w:rFonts w:asciiTheme="minorHAnsi" w:eastAsiaTheme="minorHAnsi" w:hAnsiTheme="minorHAnsi" w:cstheme="minorHAnsi"/>
          <w:bCs/>
          <w:szCs w:val="26"/>
          <w:lang w:val="en-US"/>
        </w:rPr>
        <w:t xml:space="preserve"> </w:t>
      </w:r>
      <w:r w:rsidRPr="006B7E67">
        <w:rPr>
          <w:rFonts w:asciiTheme="minorHAnsi" w:eastAsiaTheme="minorHAnsi" w:hAnsiTheme="minorHAnsi" w:cstheme="minorHAnsi" w:hint="eastAsia"/>
          <w:bCs/>
          <w:szCs w:val="26"/>
          <w:lang w:val="en-US"/>
        </w:rPr>
        <w:t>štite</w:t>
      </w:r>
      <w:r w:rsidR="002B108C">
        <w:rPr>
          <w:rFonts w:asciiTheme="minorHAnsi" w:eastAsiaTheme="minorHAnsi" w:hAnsiTheme="minorHAnsi" w:cstheme="minorHAnsi"/>
          <w:bCs/>
          <w:szCs w:val="26"/>
          <w:lang w:val="en-US"/>
        </w:rPr>
        <w:t>.</w:t>
      </w:r>
    </w:p>
    <w:p w14:paraId="596A9991" w14:textId="017E8565" w:rsidR="004F4EE7" w:rsidRPr="00E526C4" w:rsidRDefault="004F4EE7" w:rsidP="004F4EE7">
      <w:pPr>
        <w:pStyle w:val="Heading3"/>
      </w:pPr>
      <w:bookmarkStart w:id="37" w:name="_Toc488761246"/>
      <w:bookmarkStart w:id="38" w:name="_Toc496413386"/>
      <w:r w:rsidRPr="00D33DD0">
        <w:t>V.</w:t>
      </w:r>
      <w:r w:rsidR="00F67084">
        <w:t>3</w:t>
      </w:r>
      <w:r w:rsidRPr="00D33DD0">
        <w:t>.3.</w:t>
      </w:r>
      <w:r w:rsidRPr="00E526C4">
        <w:rPr>
          <w:color w:val="FF0000"/>
        </w:rPr>
        <w:t xml:space="preserve"> </w:t>
      </w:r>
      <w:r w:rsidRPr="00E526C4">
        <w:t>Inicijative međuop</w:t>
      </w:r>
      <w:r w:rsidR="009138A4">
        <w:t>št</w:t>
      </w:r>
      <w:r w:rsidRPr="00E526C4">
        <w:t>inske saradnje</w:t>
      </w:r>
      <w:bookmarkEnd w:id="37"/>
      <w:bookmarkEnd w:id="38"/>
      <w:r w:rsidRPr="00E526C4">
        <w:t xml:space="preserve"> </w:t>
      </w:r>
    </w:p>
    <w:p w14:paraId="69923C8B" w14:textId="44B539A3" w:rsidR="004F4EE7" w:rsidRPr="00D521CF" w:rsidRDefault="004F4EE7" w:rsidP="004F4EE7">
      <w:pPr>
        <w:jc w:val="both"/>
        <w:rPr>
          <w:rFonts w:asciiTheme="minorHAnsi" w:eastAsiaTheme="minorHAnsi" w:hAnsiTheme="minorHAnsi" w:cstheme="minorHAnsi"/>
          <w:bCs/>
          <w:szCs w:val="26"/>
          <w:lang w:val="en-US"/>
        </w:rPr>
      </w:pPr>
      <w:r w:rsidRPr="00D521CF">
        <w:rPr>
          <w:rFonts w:asciiTheme="minorHAnsi" w:eastAsiaTheme="minorHAnsi" w:hAnsiTheme="minorHAnsi" w:cstheme="minorHAnsi"/>
          <w:bCs/>
          <w:szCs w:val="26"/>
          <w:lang w:val="en-US"/>
        </w:rPr>
        <w:t xml:space="preserve">Međuopštinska saradnje treba da bude usmjerena na </w:t>
      </w:r>
      <w:r w:rsidR="00017A93">
        <w:rPr>
          <w:rFonts w:asciiTheme="minorHAnsi" w:eastAsiaTheme="minorHAnsi" w:hAnsiTheme="minorHAnsi" w:cstheme="minorHAnsi"/>
          <w:bCs/>
          <w:szCs w:val="26"/>
          <w:lang w:val="en-US"/>
        </w:rPr>
        <w:t>unapređenje infrastrukture u inicijativama gdje su takvarješenja potrebna i povoljnija</w:t>
      </w:r>
      <w:r>
        <w:rPr>
          <w:rFonts w:asciiTheme="minorHAnsi" w:eastAsiaTheme="minorHAnsi" w:hAnsiTheme="minorHAnsi" w:cstheme="minorHAnsi"/>
          <w:bCs/>
          <w:szCs w:val="26"/>
          <w:lang w:val="en-US"/>
        </w:rPr>
        <w:t>, ali i na saradnju u obl</w:t>
      </w:r>
      <w:r w:rsidR="00017A93">
        <w:rPr>
          <w:rFonts w:asciiTheme="minorHAnsi" w:eastAsiaTheme="minorHAnsi" w:hAnsiTheme="minorHAnsi" w:cstheme="minorHAnsi"/>
          <w:bCs/>
          <w:szCs w:val="26"/>
          <w:lang w:val="en-US"/>
        </w:rPr>
        <w:t>a</w:t>
      </w:r>
      <w:r>
        <w:rPr>
          <w:rFonts w:asciiTheme="minorHAnsi" w:eastAsiaTheme="minorHAnsi" w:hAnsiTheme="minorHAnsi" w:cstheme="minorHAnsi"/>
          <w:bCs/>
          <w:szCs w:val="26"/>
          <w:lang w:val="en-US"/>
        </w:rPr>
        <w:t xml:space="preserve">sti sporta i kulture, kroz apliciranje za donatorska sredstva u partnerstvu sa akterima iz okruženja te jačanje saradnje sa </w:t>
      </w:r>
      <w:r w:rsidR="00017A93">
        <w:rPr>
          <w:rFonts w:asciiTheme="minorHAnsi" w:eastAsiaTheme="minorHAnsi" w:hAnsiTheme="minorHAnsi" w:cstheme="minorHAnsi"/>
          <w:bCs/>
          <w:szCs w:val="26"/>
          <w:lang w:val="en-US"/>
        </w:rPr>
        <w:t>dijasporom</w:t>
      </w:r>
      <w:r>
        <w:rPr>
          <w:rFonts w:asciiTheme="minorHAnsi" w:eastAsiaTheme="minorHAnsi" w:hAnsiTheme="minorHAnsi" w:cstheme="minorHAnsi"/>
          <w:bCs/>
          <w:szCs w:val="26"/>
          <w:lang w:val="en-US"/>
        </w:rPr>
        <w:t xml:space="preserve">. </w:t>
      </w:r>
    </w:p>
    <w:p w14:paraId="2A299DC7" w14:textId="6A6C9052" w:rsidR="004F4EE7" w:rsidRPr="000650B8" w:rsidRDefault="004F4EE7" w:rsidP="004F4EE7">
      <w:pPr>
        <w:pStyle w:val="Heading3"/>
      </w:pPr>
      <w:bookmarkStart w:id="39" w:name="_Toc488761247"/>
      <w:bookmarkStart w:id="40" w:name="_Toc496413387"/>
      <w:r>
        <w:t>V.</w:t>
      </w:r>
      <w:r w:rsidR="00F67084">
        <w:t>3</w:t>
      </w:r>
      <w:r w:rsidRPr="000650B8">
        <w:t>.</w:t>
      </w:r>
      <w:r>
        <w:t>4</w:t>
      </w:r>
      <w:r w:rsidRPr="000650B8">
        <w:t>.</w:t>
      </w:r>
      <w:r w:rsidRPr="000650B8">
        <w:tab/>
        <w:t>Programi, projekti i mjere</w:t>
      </w:r>
      <w:bookmarkEnd w:id="39"/>
      <w:bookmarkEnd w:id="40"/>
    </w:p>
    <w:p w14:paraId="1996A9BF" w14:textId="7E1BA330" w:rsidR="004F4EE7" w:rsidRPr="000D0569" w:rsidRDefault="004F4EE7" w:rsidP="004F4EE7">
      <w:pPr>
        <w:jc w:val="both"/>
      </w:pPr>
      <w:r w:rsidRPr="000D0569">
        <w:t>Za realizaciju plana društvenog</w:t>
      </w:r>
      <w:r>
        <w:t xml:space="preserve"> razvoja opšt</w:t>
      </w:r>
      <w:r w:rsidRPr="000D0569">
        <w:t xml:space="preserve">ine </w:t>
      </w:r>
      <w:r w:rsidR="00017A93">
        <w:t>Prnjavor</w:t>
      </w:r>
      <w:r w:rsidRPr="000D0569">
        <w:t xml:space="preserve"> definisano je </w:t>
      </w:r>
      <w:r w:rsidR="002B108C">
        <w:t>1</w:t>
      </w:r>
      <w:r w:rsidR="00F44561">
        <w:t>5</w:t>
      </w:r>
      <w:r w:rsidRPr="000D0569">
        <w:t xml:space="preserve"> projekata i mjera grupisanih u </w:t>
      </w:r>
      <w:r w:rsidR="002B108C">
        <w:t>3</w:t>
      </w:r>
      <w:r w:rsidRPr="000D0569">
        <w:t xml:space="preserve"> programa: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2"/>
        <w:gridCol w:w="4398"/>
      </w:tblGrid>
      <w:tr w:rsidR="004F4EE7" w:rsidRPr="002B108C" w14:paraId="0157B673" w14:textId="77777777" w:rsidTr="002B108C">
        <w:trPr>
          <w:trHeight w:val="20"/>
        </w:trPr>
        <w:tc>
          <w:tcPr>
            <w:tcW w:w="2648" w:type="pct"/>
            <w:shd w:val="clear" w:color="auto" w:fill="auto"/>
            <w:vAlign w:val="center"/>
          </w:tcPr>
          <w:p w14:paraId="43FABEAE" w14:textId="77777777" w:rsidR="004F4EE7" w:rsidRPr="002B108C" w:rsidRDefault="004F4EE7" w:rsidP="000B6E58">
            <w:pPr>
              <w:pStyle w:val="ListParagraph"/>
              <w:spacing w:before="0" w:line="240" w:lineRule="auto"/>
              <w:ind w:left="0"/>
              <w:contextualSpacing w:val="0"/>
              <w:jc w:val="center"/>
              <w:rPr>
                <w:rFonts w:asciiTheme="minorHAnsi" w:hAnsiTheme="minorHAnsi" w:cstheme="minorHAnsi"/>
                <w:b/>
                <w:lang w:val="bs-Latn-BA"/>
              </w:rPr>
            </w:pPr>
            <w:r w:rsidRPr="002B108C">
              <w:rPr>
                <w:rFonts w:asciiTheme="minorHAnsi" w:hAnsiTheme="minorHAnsi" w:cstheme="minorHAnsi"/>
                <w:b/>
                <w:lang w:val="bs-Latn-BA"/>
              </w:rPr>
              <w:t>PROGRAM</w:t>
            </w:r>
          </w:p>
        </w:tc>
        <w:tc>
          <w:tcPr>
            <w:tcW w:w="2352" w:type="pct"/>
            <w:shd w:val="clear" w:color="auto" w:fill="auto"/>
            <w:vAlign w:val="center"/>
          </w:tcPr>
          <w:p w14:paraId="0571FF31" w14:textId="77777777" w:rsidR="004F4EE7" w:rsidRPr="002B108C" w:rsidRDefault="004F4EE7" w:rsidP="000B6E58">
            <w:pPr>
              <w:pStyle w:val="ListParagraph"/>
              <w:spacing w:before="0" w:line="240" w:lineRule="auto"/>
              <w:ind w:left="0"/>
              <w:contextualSpacing w:val="0"/>
              <w:jc w:val="center"/>
              <w:rPr>
                <w:rFonts w:asciiTheme="minorHAnsi" w:hAnsiTheme="minorHAnsi" w:cstheme="minorHAnsi"/>
                <w:b/>
                <w:lang w:val="bs-Latn-BA"/>
              </w:rPr>
            </w:pPr>
            <w:r w:rsidRPr="002B108C">
              <w:rPr>
                <w:rFonts w:asciiTheme="minorHAnsi" w:hAnsiTheme="minorHAnsi" w:cstheme="minorHAnsi"/>
                <w:b/>
                <w:lang w:val="bs-Latn-BA"/>
              </w:rPr>
              <w:t>MJERA/PROJEKAT</w:t>
            </w:r>
          </w:p>
        </w:tc>
      </w:tr>
      <w:tr w:rsidR="00B81517" w:rsidRPr="002B108C" w14:paraId="3D0E4C97" w14:textId="77777777" w:rsidTr="002B108C">
        <w:trPr>
          <w:trHeight w:val="20"/>
        </w:trPr>
        <w:tc>
          <w:tcPr>
            <w:tcW w:w="2648" w:type="pct"/>
            <w:vMerge w:val="restart"/>
            <w:shd w:val="clear" w:color="auto" w:fill="auto"/>
            <w:vAlign w:val="center"/>
          </w:tcPr>
          <w:p w14:paraId="1CFEFD5F" w14:textId="3B8A2B00" w:rsidR="00B81517" w:rsidRPr="002B108C" w:rsidRDefault="00B81517" w:rsidP="000B6E58">
            <w:pPr>
              <w:pStyle w:val="ListParagraph"/>
              <w:spacing w:before="0" w:line="240" w:lineRule="auto"/>
              <w:ind w:left="0"/>
              <w:contextualSpacing w:val="0"/>
              <w:rPr>
                <w:rFonts w:asciiTheme="minorHAnsi" w:hAnsiTheme="minorHAnsi" w:cstheme="minorHAnsi"/>
                <w:color w:val="FF0000"/>
                <w:lang w:val="bs-Latn-BA"/>
              </w:rPr>
            </w:pPr>
            <w:r w:rsidRPr="002B108C">
              <w:rPr>
                <w:b/>
                <w:noProof/>
                <w:lang w:val="sr-Latn-BA"/>
              </w:rPr>
              <w:t>2</w:t>
            </w:r>
            <w:r w:rsidRPr="002B108C">
              <w:rPr>
                <w:b/>
                <w:noProof/>
                <w:lang w:val="sr-Cyrl-BA"/>
              </w:rPr>
              <w:t xml:space="preserve">.1.1. </w:t>
            </w:r>
            <w:r w:rsidRPr="002B108C">
              <w:rPr>
                <w:b/>
                <w:noProof/>
                <w:lang w:val="sr-Latn-BA"/>
              </w:rPr>
              <w:t>Unapređenje komunalne infrastrukture</w:t>
            </w:r>
          </w:p>
        </w:tc>
        <w:tc>
          <w:tcPr>
            <w:tcW w:w="2352" w:type="pct"/>
            <w:shd w:val="clear" w:color="auto" w:fill="auto"/>
            <w:vAlign w:val="center"/>
          </w:tcPr>
          <w:p w14:paraId="7D4AE3B3" w14:textId="6B5B107A" w:rsidR="00B81517" w:rsidRPr="002B108C" w:rsidRDefault="00B81517" w:rsidP="000B6E58">
            <w:pPr>
              <w:pStyle w:val="ListParagraph"/>
              <w:spacing w:before="0" w:line="240" w:lineRule="auto"/>
              <w:ind w:left="0"/>
              <w:contextualSpacing w:val="0"/>
              <w:rPr>
                <w:rFonts w:asciiTheme="minorHAnsi" w:hAnsiTheme="minorHAnsi" w:cstheme="minorHAnsi"/>
                <w:color w:val="FF0000"/>
                <w:lang w:val="bs-Latn-BA"/>
              </w:rPr>
            </w:pPr>
            <w:r w:rsidRPr="002B108C">
              <w:t>2.1.1.1. Izgradnja prioritetne putne mreže i saobraćajne infrastrukture</w:t>
            </w:r>
          </w:p>
        </w:tc>
      </w:tr>
      <w:tr w:rsidR="00B81517" w:rsidRPr="002B108C" w14:paraId="716143F9" w14:textId="77777777" w:rsidTr="002B108C">
        <w:trPr>
          <w:trHeight w:val="20"/>
        </w:trPr>
        <w:tc>
          <w:tcPr>
            <w:tcW w:w="2648" w:type="pct"/>
            <w:vMerge/>
            <w:shd w:val="clear" w:color="auto" w:fill="auto"/>
            <w:vAlign w:val="center"/>
          </w:tcPr>
          <w:p w14:paraId="689D1724" w14:textId="77777777" w:rsidR="00B81517" w:rsidRPr="002B108C" w:rsidRDefault="00B81517" w:rsidP="000B6E58">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6D8DBB8F" w14:textId="247AEC9B" w:rsidR="00B81517" w:rsidRPr="002B108C" w:rsidRDefault="00B81517" w:rsidP="000B6E58">
            <w:pPr>
              <w:pStyle w:val="ListParagraph"/>
              <w:spacing w:before="0" w:line="240" w:lineRule="auto"/>
              <w:ind w:left="0"/>
              <w:contextualSpacing w:val="0"/>
              <w:rPr>
                <w:rFonts w:asciiTheme="minorHAnsi" w:hAnsiTheme="minorHAnsi" w:cstheme="minorHAnsi"/>
                <w:color w:val="FF0000"/>
                <w:lang w:val="bs-Latn-BA"/>
              </w:rPr>
            </w:pPr>
            <w:r w:rsidRPr="002B108C">
              <w:t>2.1.1.2. Izgradnja prioritetne vodovodne mreže</w:t>
            </w:r>
          </w:p>
        </w:tc>
      </w:tr>
      <w:tr w:rsidR="00B81517" w:rsidRPr="002B108C" w14:paraId="531F8AFE" w14:textId="77777777" w:rsidTr="002B108C">
        <w:trPr>
          <w:trHeight w:val="20"/>
        </w:trPr>
        <w:tc>
          <w:tcPr>
            <w:tcW w:w="2648" w:type="pct"/>
            <w:vMerge/>
            <w:shd w:val="clear" w:color="auto" w:fill="auto"/>
            <w:vAlign w:val="center"/>
          </w:tcPr>
          <w:p w14:paraId="3B799E5E" w14:textId="77777777" w:rsidR="00B81517" w:rsidRPr="002B108C" w:rsidRDefault="00B81517" w:rsidP="000B6E58">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43BD602E" w14:textId="1DE45F31" w:rsidR="00B81517" w:rsidRPr="002B108C" w:rsidRDefault="00B81517" w:rsidP="000B6E58">
            <w:pPr>
              <w:pStyle w:val="ListParagraph"/>
              <w:spacing w:before="0" w:line="240" w:lineRule="auto"/>
              <w:ind w:left="0"/>
              <w:contextualSpacing w:val="0"/>
              <w:rPr>
                <w:rFonts w:asciiTheme="minorHAnsi" w:hAnsiTheme="minorHAnsi" w:cstheme="minorHAnsi"/>
                <w:color w:val="FF0000"/>
                <w:lang w:val="bs-Latn-BA"/>
              </w:rPr>
            </w:pPr>
            <w:r w:rsidRPr="002B108C">
              <w:t>2.1.1.3. Izgradnja prioritetne kanalizacione mreže</w:t>
            </w:r>
          </w:p>
        </w:tc>
      </w:tr>
      <w:tr w:rsidR="00B81517" w:rsidRPr="002B108C" w14:paraId="1712B76F" w14:textId="77777777" w:rsidTr="002B108C">
        <w:trPr>
          <w:trHeight w:val="20"/>
        </w:trPr>
        <w:tc>
          <w:tcPr>
            <w:tcW w:w="2648" w:type="pct"/>
            <w:vMerge/>
            <w:shd w:val="clear" w:color="auto" w:fill="auto"/>
            <w:vAlign w:val="center"/>
          </w:tcPr>
          <w:p w14:paraId="7C241AA5" w14:textId="77777777" w:rsidR="00B81517" w:rsidRPr="002B108C" w:rsidRDefault="00B81517" w:rsidP="000B6E58">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101F2D1F" w14:textId="1EE97651" w:rsidR="00B81517" w:rsidRPr="002B108C" w:rsidRDefault="00B81517" w:rsidP="000B6E58">
            <w:pPr>
              <w:pStyle w:val="ListParagraph"/>
              <w:spacing w:before="0" w:line="240" w:lineRule="auto"/>
              <w:ind w:left="0"/>
              <w:contextualSpacing w:val="0"/>
              <w:rPr>
                <w:rFonts w:asciiTheme="minorHAnsi" w:hAnsiTheme="minorHAnsi" w:cstheme="minorHAnsi"/>
                <w:color w:val="FF0000"/>
                <w:lang w:val="bs-Latn-BA"/>
              </w:rPr>
            </w:pPr>
            <w:r w:rsidRPr="002B108C">
              <w:t>2.1.1.4. Rekonstrukcija prioritetne niskonap</w:t>
            </w:r>
            <w:r>
              <w:t xml:space="preserve">onske elektromreže </w:t>
            </w:r>
          </w:p>
        </w:tc>
      </w:tr>
      <w:tr w:rsidR="00350813" w:rsidRPr="002B108C" w14:paraId="39D52BB4" w14:textId="77777777" w:rsidTr="00350813">
        <w:trPr>
          <w:trHeight w:val="816"/>
        </w:trPr>
        <w:tc>
          <w:tcPr>
            <w:tcW w:w="2648" w:type="pct"/>
            <w:vMerge/>
            <w:shd w:val="clear" w:color="auto" w:fill="auto"/>
            <w:vAlign w:val="center"/>
          </w:tcPr>
          <w:p w14:paraId="4413E781" w14:textId="77777777" w:rsidR="00350813" w:rsidRPr="002B108C" w:rsidRDefault="00350813" w:rsidP="000B6E58">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4AA512F5" w14:textId="501C2048" w:rsidR="00350813" w:rsidRPr="002B108C" w:rsidRDefault="00350813" w:rsidP="000B6E58">
            <w:pPr>
              <w:pStyle w:val="ListParagraph"/>
              <w:spacing w:before="0" w:line="240" w:lineRule="auto"/>
              <w:ind w:left="0"/>
              <w:contextualSpacing w:val="0"/>
              <w:rPr>
                <w:rFonts w:asciiTheme="minorHAnsi" w:hAnsiTheme="minorHAnsi" w:cstheme="minorHAnsi"/>
                <w:color w:val="FF0000"/>
                <w:lang w:val="bs-Latn-BA"/>
              </w:rPr>
            </w:pPr>
            <w:r w:rsidRPr="002B108C">
              <w:t>2.1.1.5. Sanacija klizišta na području opštine u skladu sa prioritetima</w:t>
            </w:r>
          </w:p>
        </w:tc>
      </w:tr>
      <w:tr w:rsidR="00910441" w:rsidRPr="002B108C" w14:paraId="1A69FF72" w14:textId="77777777" w:rsidTr="002B108C">
        <w:trPr>
          <w:trHeight w:val="20"/>
        </w:trPr>
        <w:tc>
          <w:tcPr>
            <w:tcW w:w="2648" w:type="pct"/>
            <w:vMerge w:val="restart"/>
            <w:shd w:val="clear" w:color="auto" w:fill="auto"/>
            <w:vAlign w:val="center"/>
          </w:tcPr>
          <w:p w14:paraId="41FA650B" w14:textId="71CFE914" w:rsidR="00910441" w:rsidRPr="002B108C" w:rsidRDefault="00910441" w:rsidP="000B6E58">
            <w:pPr>
              <w:pStyle w:val="ListParagraph"/>
              <w:spacing w:before="0" w:line="240" w:lineRule="auto"/>
              <w:ind w:left="0"/>
              <w:contextualSpacing w:val="0"/>
              <w:rPr>
                <w:rFonts w:asciiTheme="minorHAnsi" w:hAnsiTheme="minorHAnsi" w:cstheme="minorHAnsi"/>
                <w:color w:val="FF0000"/>
                <w:lang w:val="bs-Latn-BA"/>
              </w:rPr>
            </w:pPr>
            <w:r w:rsidRPr="002B108C">
              <w:rPr>
                <w:b/>
                <w:lang w:val="sr-Cyrl-BA"/>
              </w:rPr>
              <w:t xml:space="preserve">2.2.1. </w:t>
            </w:r>
            <w:r w:rsidRPr="002B108C">
              <w:rPr>
                <w:b/>
                <w:lang w:val="sr-Latn-BA"/>
              </w:rPr>
              <w:t>Poboljšanje uslova za kulturne i sportske aktivnosti</w:t>
            </w:r>
          </w:p>
        </w:tc>
        <w:tc>
          <w:tcPr>
            <w:tcW w:w="2352" w:type="pct"/>
            <w:shd w:val="clear" w:color="auto" w:fill="auto"/>
            <w:vAlign w:val="center"/>
          </w:tcPr>
          <w:p w14:paraId="3E0329DE" w14:textId="4B7C201F" w:rsidR="00910441" w:rsidRPr="002B108C" w:rsidRDefault="00910441" w:rsidP="000B6E58">
            <w:pPr>
              <w:pStyle w:val="ListParagraph"/>
              <w:spacing w:before="0" w:line="240" w:lineRule="auto"/>
              <w:ind w:left="0"/>
              <w:contextualSpacing w:val="0"/>
              <w:rPr>
                <w:rFonts w:asciiTheme="minorHAnsi" w:hAnsiTheme="minorHAnsi" w:cstheme="minorHAnsi"/>
                <w:color w:val="FF0000"/>
                <w:lang w:val="bs-Latn-BA"/>
              </w:rPr>
            </w:pPr>
            <w:r w:rsidRPr="00B81517">
              <w:rPr>
                <w:highlight w:val="cyan"/>
              </w:rPr>
              <w:t xml:space="preserve">2.2.1.1. Festival nacionalnih manjina opštine </w:t>
            </w:r>
            <w:r w:rsidRPr="00350813">
              <w:rPr>
                <w:highlight w:val="cyan"/>
              </w:rPr>
              <w:t xml:space="preserve">Prnjavor </w:t>
            </w:r>
            <w:r w:rsidRPr="00350813">
              <w:rPr>
                <w:i/>
                <w:highlight w:val="cyan"/>
              </w:rPr>
              <w:t>Mala Evropa</w:t>
            </w:r>
          </w:p>
        </w:tc>
      </w:tr>
      <w:tr w:rsidR="00910441" w:rsidRPr="002B108C" w14:paraId="36E70A2B" w14:textId="77777777" w:rsidTr="002B108C">
        <w:trPr>
          <w:trHeight w:val="20"/>
        </w:trPr>
        <w:tc>
          <w:tcPr>
            <w:tcW w:w="2648" w:type="pct"/>
            <w:vMerge/>
            <w:shd w:val="clear" w:color="auto" w:fill="auto"/>
            <w:vAlign w:val="center"/>
          </w:tcPr>
          <w:p w14:paraId="6F796B10" w14:textId="77777777" w:rsidR="00910441" w:rsidRPr="002B108C" w:rsidRDefault="00910441" w:rsidP="000B6E58">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200D3CED" w14:textId="2A6C3118" w:rsidR="00910441" w:rsidRPr="002B108C" w:rsidRDefault="00910441" w:rsidP="000B6E58">
            <w:pPr>
              <w:pStyle w:val="ListParagraph"/>
              <w:spacing w:before="0" w:line="240" w:lineRule="auto"/>
              <w:ind w:left="0"/>
              <w:contextualSpacing w:val="0"/>
              <w:rPr>
                <w:rFonts w:asciiTheme="minorHAnsi" w:hAnsiTheme="minorHAnsi" w:cstheme="minorHAnsi"/>
                <w:color w:val="FF0000"/>
                <w:lang w:val="bs-Latn-BA"/>
              </w:rPr>
            </w:pPr>
            <w:r w:rsidRPr="002B108C">
              <w:t>2.2.1.2. Mjera: Podrška održavanju tradicionalnih manifestacija u ruralnim područjima</w:t>
            </w:r>
          </w:p>
        </w:tc>
      </w:tr>
      <w:tr w:rsidR="00910441" w:rsidRPr="002B108C" w14:paraId="5BDFB750" w14:textId="77777777" w:rsidTr="002B108C">
        <w:trPr>
          <w:trHeight w:val="20"/>
        </w:trPr>
        <w:tc>
          <w:tcPr>
            <w:tcW w:w="2648" w:type="pct"/>
            <w:vMerge/>
            <w:shd w:val="clear" w:color="auto" w:fill="auto"/>
            <w:vAlign w:val="center"/>
          </w:tcPr>
          <w:p w14:paraId="587DE4B1" w14:textId="77777777" w:rsidR="00910441" w:rsidRPr="002B108C" w:rsidRDefault="00910441" w:rsidP="000B6E58">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70BB48AB" w14:textId="1A222EAD" w:rsidR="00910441" w:rsidRPr="002B108C" w:rsidRDefault="00910441" w:rsidP="000B6E58">
            <w:pPr>
              <w:pStyle w:val="ListParagraph"/>
              <w:spacing w:before="0" w:line="240" w:lineRule="auto"/>
              <w:ind w:left="0"/>
              <w:contextualSpacing w:val="0"/>
              <w:rPr>
                <w:rFonts w:asciiTheme="minorHAnsi" w:hAnsiTheme="minorHAnsi" w:cstheme="minorHAnsi"/>
                <w:color w:val="FF0000"/>
                <w:lang w:val="bs-Latn-BA"/>
              </w:rPr>
            </w:pPr>
            <w:r w:rsidRPr="002B108C">
              <w:t>2.2.1.3. Izrada Omladinske politike opštine Prnjavor</w:t>
            </w:r>
          </w:p>
        </w:tc>
      </w:tr>
      <w:tr w:rsidR="00910441" w:rsidRPr="002B108C" w14:paraId="26DCA5C1" w14:textId="77777777" w:rsidTr="002B108C">
        <w:trPr>
          <w:trHeight w:val="20"/>
        </w:trPr>
        <w:tc>
          <w:tcPr>
            <w:tcW w:w="2648" w:type="pct"/>
            <w:vMerge/>
            <w:shd w:val="clear" w:color="auto" w:fill="auto"/>
            <w:vAlign w:val="center"/>
          </w:tcPr>
          <w:p w14:paraId="29651692" w14:textId="77777777" w:rsidR="00910441" w:rsidRPr="002B108C" w:rsidRDefault="00910441" w:rsidP="000B6E58">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261FA3D3" w14:textId="57124ACF" w:rsidR="00910441" w:rsidRPr="002B108C" w:rsidRDefault="00910441" w:rsidP="000B6E58">
            <w:pPr>
              <w:pStyle w:val="ListParagraph"/>
              <w:spacing w:before="0" w:line="240" w:lineRule="auto"/>
              <w:ind w:left="0"/>
              <w:contextualSpacing w:val="0"/>
            </w:pPr>
            <w:r w:rsidRPr="00D472A7">
              <w:rPr>
                <w:highlight w:val="cyan"/>
              </w:rPr>
              <w:t>2.2.1.4. Unapređenje prioritetne školske infrastrukture na području opštine</w:t>
            </w:r>
            <w:r w:rsidRPr="002B108C">
              <w:t xml:space="preserve"> </w:t>
            </w:r>
          </w:p>
        </w:tc>
      </w:tr>
      <w:tr w:rsidR="00910441" w:rsidRPr="002B108C" w14:paraId="6D192C92" w14:textId="77777777" w:rsidTr="002B108C">
        <w:trPr>
          <w:trHeight w:val="20"/>
        </w:trPr>
        <w:tc>
          <w:tcPr>
            <w:tcW w:w="2648" w:type="pct"/>
            <w:vMerge/>
            <w:shd w:val="clear" w:color="auto" w:fill="auto"/>
            <w:vAlign w:val="center"/>
          </w:tcPr>
          <w:p w14:paraId="20D61FCD" w14:textId="77777777" w:rsidR="00910441" w:rsidRPr="002B108C" w:rsidRDefault="00910441" w:rsidP="000B6E58">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518EC49A" w14:textId="6C87B1A6" w:rsidR="00910441" w:rsidRPr="002B108C" w:rsidRDefault="00910441" w:rsidP="000B6E58">
            <w:pPr>
              <w:pStyle w:val="ListParagraph"/>
              <w:spacing w:before="0" w:line="240" w:lineRule="auto"/>
              <w:ind w:left="0"/>
              <w:contextualSpacing w:val="0"/>
            </w:pPr>
            <w:r w:rsidRPr="002B108C">
              <w:t>2.2.1.5. Mjera: Modernizacija nastavnog procesa (opremanje didaktičkim sredstvima)</w:t>
            </w:r>
          </w:p>
        </w:tc>
      </w:tr>
      <w:tr w:rsidR="00910441" w:rsidRPr="002B108C" w14:paraId="477CDCF2" w14:textId="77777777" w:rsidTr="002B108C">
        <w:trPr>
          <w:trHeight w:val="20"/>
        </w:trPr>
        <w:tc>
          <w:tcPr>
            <w:tcW w:w="2648" w:type="pct"/>
            <w:vMerge/>
            <w:shd w:val="clear" w:color="auto" w:fill="auto"/>
            <w:vAlign w:val="center"/>
          </w:tcPr>
          <w:p w14:paraId="22A37B0D" w14:textId="77777777" w:rsidR="00910441" w:rsidRPr="002B108C" w:rsidRDefault="00910441" w:rsidP="000B6E58">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74B46468" w14:textId="3F08421D" w:rsidR="00910441" w:rsidRPr="002B108C" w:rsidRDefault="00910441" w:rsidP="000B6E58">
            <w:pPr>
              <w:pStyle w:val="ListParagraph"/>
              <w:spacing w:before="0" w:line="240" w:lineRule="auto"/>
              <w:ind w:left="0"/>
              <w:contextualSpacing w:val="0"/>
            </w:pPr>
            <w:r w:rsidRPr="002B108C">
              <w:t>2.2.1.6. Poboljšanje uslova za mlade za bavljenje sportskim i kulturnim aktivnostima</w:t>
            </w:r>
          </w:p>
        </w:tc>
      </w:tr>
      <w:tr w:rsidR="00910441" w:rsidRPr="002B108C" w14:paraId="2C4A3A9B" w14:textId="77777777" w:rsidTr="002B108C">
        <w:trPr>
          <w:trHeight w:val="20"/>
        </w:trPr>
        <w:tc>
          <w:tcPr>
            <w:tcW w:w="2648" w:type="pct"/>
            <w:vMerge/>
            <w:shd w:val="clear" w:color="auto" w:fill="auto"/>
            <w:vAlign w:val="center"/>
          </w:tcPr>
          <w:p w14:paraId="67378FF8" w14:textId="77777777" w:rsidR="00910441" w:rsidRPr="002B108C" w:rsidRDefault="00910441" w:rsidP="000B6E58">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599B0CE3" w14:textId="52761E8E" w:rsidR="00910441" w:rsidRPr="002B108C" w:rsidRDefault="00910441" w:rsidP="000B6E58">
            <w:pPr>
              <w:pStyle w:val="ListParagraph"/>
              <w:spacing w:before="0" w:line="240" w:lineRule="auto"/>
              <w:ind w:left="0"/>
              <w:contextualSpacing w:val="0"/>
            </w:pPr>
            <w:r>
              <w:rPr>
                <w:rFonts w:asciiTheme="minorHAnsi" w:hAnsiTheme="minorHAnsi" w:cstheme="minorHAnsi"/>
                <w:szCs w:val="24"/>
                <w:highlight w:val="cyan"/>
              </w:rPr>
              <w:t>2.2</w:t>
            </w:r>
            <w:r w:rsidRPr="00B81517">
              <w:rPr>
                <w:rFonts w:asciiTheme="minorHAnsi" w:hAnsiTheme="minorHAnsi" w:cstheme="minorHAnsi"/>
                <w:szCs w:val="24"/>
                <w:highlight w:val="cyan"/>
              </w:rPr>
              <w:t>.1.</w:t>
            </w:r>
            <w:r>
              <w:rPr>
                <w:rFonts w:asciiTheme="minorHAnsi" w:hAnsiTheme="minorHAnsi" w:cstheme="minorHAnsi"/>
                <w:szCs w:val="24"/>
                <w:highlight w:val="cyan"/>
              </w:rPr>
              <w:t>7</w:t>
            </w:r>
            <w:r w:rsidRPr="00B81517">
              <w:rPr>
                <w:rFonts w:asciiTheme="minorHAnsi" w:hAnsiTheme="minorHAnsi" w:cstheme="minorHAnsi"/>
                <w:szCs w:val="24"/>
                <w:highlight w:val="cyan"/>
              </w:rPr>
              <w:t>. Izgradnja centralnog spomen obilježja</w:t>
            </w:r>
          </w:p>
        </w:tc>
      </w:tr>
      <w:tr w:rsidR="00910441" w:rsidRPr="002B108C" w14:paraId="0EE11B4E" w14:textId="77777777" w:rsidTr="002B108C">
        <w:trPr>
          <w:trHeight w:val="20"/>
        </w:trPr>
        <w:tc>
          <w:tcPr>
            <w:tcW w:w="2648" w:type="pct"/>
            <w:vMerge/>
            <w:shd w:val="clear" w:color="auto" w:fill="auto"/>
            <w:vAlign w:val="center"/>
          </w:tcPr>
          <w:p w14:paraId="25BEE5C0" w14:textId="77777777" w:rsidR="00910441" w:rsidRPr="002B108C" w:rsidRDefault="00910441" w:rsidP="000B6E58">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2780AFB3" w14:textId="1DCAA9D5" w:rsidR="00910441" w:rsidRDefault="00910441" w:rsidP="000B6E58">
            <w:pPr>
              <w:pStyle w:val="ListParagraph"/>
              <w:spacing w:before="0" w:line="240" w:lineRule="auto"/>
              <w:ind w:left="0"/>
              <w:contextualSpacing w:val="0"/>
              <w:rPr>
                <w:rFonts w:asciiTheme="minorHAnsi" w:hAnsiTheme="minorHAnsi" w:cstheme="minorHAnsi"/>
                <w:szCs w:val="24"/>
                <w:highlight w:val="cyan"/>
              </w:rPr>
            </w:pPr>
            <w:r>
              <w:rPr>
                <w:highlight w:val="cyan"/>
                <w:lang w:val="sr-Latn-BA"/>
              </w:rPr>
              <w:t>2.2</w:t>
            </w:r>
            <w:r w:rsidRPr="00B81517">
              <w:rPr>
                <w:highlight w:val="cyan"/>
                <w:lang w:val="sr-Latn-BA"/>
              </w:rPr>
              <w:t>.1.</w:t>
            </w:r>
            <w:r>
              <w:rPr>
                <w:highlight w:val="cyan"/>
                <w:lang w:val="sr-Latn-BA"/>
              </w:rPr>
              <w:t>8</w:t>
            </w:r>
            <w:r w:rsidRPr="00B81517">
              <w:rPr>
                <w:highlight w:val="cyan"/>
                <w:lang w:val="sr-Latn-BA"/>
              </w:rPr>
              <w:t>. Osnivanje zavičajnog muzeja i adaptacija i zaštita zgrade „Đerinac“</w:t>
            </w:r>
          </w:p>
        </w:tc>
      </w:tr>
      <w:tr w:rsidR="00B81517" w:rsidRPr="002B108C" w14:paraId="09CADF32" w14:textId="77777777" w:rsidTr="002B108C">
        <w:trPr>
          <w:trHeight w:val="20"/>
        </w:trPr>
        <w:tc>
          <w:tcPr>
            <w:tcW w:w="2648" w:type="pct"/>
            <w:vMerge w:val="restart"/>
            <w:shd w:val="clear" w:color="auto" w:fill="auto"/>
            <w:vAlign w:val="center"/>
          </w:tcPr>
          <w:p w14:paraId="3088672F" w14:textId="3F77EE83" w:rsidR="00B81517" w:rsidRPr="002B108C" w:rsidRDefault="00B81517" w:rsidP="000B6E58">
            <w:pPr>
              <w:pStyle w:val="ListParagraph"/>
              <w:spacing w:before="0" w:line="240" w:lineRule="auto"/>
              <w:ind w:left="0"/>
              <w:contextualSpacing w:val="0"/>
              <w:rPr>
                <w:rFonts w:asciiTheme="minorHAnsi" w:hAnsiTheme="minorHAnsi" w:cstheme="minorHAnsi"/>
                <w:color w:val="FF0000"/>
                <w:lang w:val="bs-Latn-BA"/>
              </w:rPr>
            </w:pPr>
            <w:r w:rsidRPr="002B108C">
              <w:rPr>
                <w:b/>
                <w:lang w:val="sr-Latn-BA"/>
              </w:rPr>
              <w:t>2</w:t>
            </w:r>
            <w:r w:rsidRPr="002B108C">
              <w:rPr>
                <w:b/>
                <w:lang w:val="sr-Cyrl-BA"/>
              </w:rPr>
              <w:t>.</w:t>
            </w:r>
            <w:r w:rsidRPr="002B108C">
              <w:rPr>
                <w:b/>
                <w:lang w:val="sr-Latn-BA"/>
              </w:rPr>
              <w:t>3</w:t>
            </w:r>
            <w:r w:rsidRPr="002B108C">
              <w:rPr>
                <w:b/>
                <w:lang w:val="sr-Cyrl-BA"/>
              </w:rPr>
              <w:t xml:space="preserve">.1. </w:t>
            </w:r>
            <w:r w:rsidRPr="002B108C">
              <w:rPr>
                <w:b/>
                <w:lang w:val="sr-Latn-BA"/>
              </w:rPr>
              <w:t xml:space="preserve">Razvoj kapaciteta NVO i komunikacije sa dijasporom </w:t>
            </w:r>
          </w:p>
        </w:tc>
        <w:tc>
          <w:tcPr>
            <w:tcW w:w="2352" w:type="pct"/>
            <w:shd w:val="clear" w:color="auto" w:fill="auto"/>
            <w:vAlign w:val="center"/>
          </w:tcPr>
          <w:p w14:paraId="7BEB37DC" w14:textId="6098BCA6" w:rsidR="00B81517" w:rsidRPr="002B108C" w:rsidRDefault="00B81517" w:rsidP="000B6E58">
            <w:pPr>
              <w:pStyle w:val="ListParagraph"/>
              <w:spacing w:before="0" w:line="240" w:lineRule="auto"/>
              <w:ind w:left="0"/>
              <w:contextualSpacing w:val="0"/>
              <w:rPr>
                <w:rFonts w:asciiTheme="minorHAnsi" w:hAnsiTheme="minorHAnsi" w:cstheme="minorHAnsi"/>
                <w:color w:val="FF0000"/>
                <w:lang w:val="bs-Latn-BA"/>
              </w:rPr>
            </w:pPr>
            <w:r w:rsidRPr="00B81517">
              <w:rPr>
                <w:highlight w:val="cyan"/>
                <w:lang w:val="sr-Latn-BA"/>
              </w:rPr>
              <w:t>2.3.1.1. Izgradnja kapaciteta NVO sektora</w:t>
            </w:r>
          </w:p>
        </w:tc>
      </w:tr>
      <w:tr w:rsidR="00565D9D" w:rsidRPr="002B108C" w14:paraId="79700F2D" w14:textId="77777777" w:rsidTr="00565D9D">
        <w:trPr>
          <w:trHeight w:val="519"/>
        </w:trPr>
        <w:tc>
          <w:tcPr>
            <w:tcW w:w="2648" w:type="pct"/>
            <w:vMerge/>
            <w:shd w:val="clear" w:color="auto" w:fill="auto"/>
            <w:vAlign w:val="center"/>
          </w:tcPr>
          <w:p w14:paraId="46E146C6" w14:textId="77777777" w:rsidR="00565D9D" w:rsidRPr="002B108C" w:rsidRDefault="00565D9D" w:rsidP="000B6E58">
            <w:pPr>
              <w:pStyle w:val="ListParagraph"/>
              <w:spacing w:before="0" w:line="240" w:lineRule="auto"/>
              <w:ind w:left="0"/>
              <w:contextualSpacing w:val="0"/>
              <w:rPr>
                <w:rFonts w:asciiTheme="minorHAnsi" w:hAnsiTheme="minorHAnsi" w:cstheme="minorHAnsi"/>
                <w:color w:val="FF0000"/>
                <w:lang w:val="bs-Latn-BA"/>
              </w:rPr>
            </w:pPr>
          </w:p>
        </w:tc>
        <w:tc>
          <w:tcPr>
            <w:tcW w:w="2352" w:type="pct"/>
            <w:shd w:val="clear" w:color="auto" w:fill="auto"/>
            <w:vAlign w:val="center"/>
          </w:tcPr>
          <w:p w14:paraId="4B64E9F4" w14:textId="0CE334CC" w:rsidR="00565D9D" w:rsidRPr="002B108C" w:rsidRDefault="00565D9D" w:rsidP="000B6E58">
            <w:pPr>
              <w:pStyle w:val="ListParagraph"/>
              <w:spacing w:before="0" w:line="240" w:lineRule="auto"/>
              <w:ind w:left="0"/>
              <w:contextualSpacing w:val="0"/>
              <w:rPr>
                <w:rFonts w:asciiTheme="minorHAnsi" w:hAnsiTheme="minorHAnsi" w:cstheme="minorHAnsi"/>
                <w:color w:val="FF0000"/>
                <w:lang w:val="bs-Latn-BA"/>
              </w:rPr>
            </w:pPr>
            <w:r w:rsidRPr="002B108C">
              <w:rPr>
                <w:lang w:val="sr-Latn-BA"/>
              </w:rPr>
              <w:t>2.3.1.2. Izrada baze podataka o dijaspori i unapređenje komunikacije</w:t>
            </w:r>
          </w:p>
        </w:tc>
      </w:tr>
    </w:tbl>
    <w:p w14:paraId="39F6399E" w14:textId="605B9272" w:rsidR="004F4EE7" w:rsidRDefault="004F4EE7" w:rsidP="004F4EE7">
      <w:pPr>
        <w:jc w:val="both"/>
      </w:pPr>
      <w:r w:rsidRPr="004C5152">
        <w:t xml:space="preserve">Ukupna očekivana ulaganja za realizaciju sektorskog plana društvenog razvoja su: </w:t>
      </w:r>
      <w:r w:rsidR="00E35E98" w:rsidRPr="002B108C">
        <w:rPr>
          <w:highlight w:val="yellow"/>
        </w:rPr>
        <w:t>x</w:t>
      </w:r>
      <w:r w:rsidRPr="002B108C">
        <w:rPr>
          <w:highlight w:val="yellow"/>
        </w:rPr>
        <w:t xml:space="preserve"> KM</w:t>
      </w:r>
      <w:r>
        <w:t>.</w:t>
      </w:r>
    </w:p>
    <w:p w14:paraId="340E1919" w14:textId="77777777" w:rsidR="002B108C" w:rsidRPr="004C5152" w:rsidRDefault="002B108C" w:rsidP="004F4EE7">
      <w:pPr>
        <w:jc w:val="both"/>
      </w:pPr>
    </w:p>
    <w:p w14:paraId="360D31E6" w14:textId="5C49880D" w:rsidR="004F4EE7" w:rsidRPr="000650B8" w:rsidRDefault="004F4EE7" w:rsidP="004F4EE7">
      <w:pPr>
        <w:pStyle w:val="Heading2"/>
      </w:pPr>
      <w:bookmarkStart w:id="41" w:name="_Toc298390164"/>
      <w:bookmarkStart w:id="42" w:name="_Toc488761248"/>
      <w:bookmarkStart w:id="43" w:name="_Toc496413388"/>
      <w:r w:rsidRPr="00D33DD0">
        <w:t>V.</w:t>
      </w:r>
      <w:r w:rsidR="00F67084">
        <w:t>4</w:t>
      </w:r>
      <w:r w:rsidRPr="00D33DD0">
        <w:t>.</w:t>
      </w:r>
      <w:r w:rsidRPr="00D33DD0">
        <w:tab/>
      </w:r>
      <w:r w:rsidRPr="000650B8">
        <w:t>Plan zaštite životne sredine</w:t>
      </w:r>
      <w:bookmarkEnd w:id="41"/>
      <w:bookmarkEnd w:id="42"/>
      <w:bookmarkEnd w:id="43"/>
    </w:p>
    <w:p w14:paraId="334013AE" w14:textId="69F9A4A7" w:rsidR="004F4EE7" w:rsidRPr="00D44AF3" w:rsidRDefault="004F4EE7" w:rsidP="004F4EE7">
      <w:pPr>
        <w:spacing w:after="100"/>
        <w:jc w:val="both"/>
      </w:pPr>
      <w:r w:rsidRPr="00D44AF3">
        <w:t xml:space="preserve">U izradi  Plana </w:t>
      </w:r>
      <w:r>
        <w:t>zaštite životne sredine</w:t>
      </w:r>
      <w:r w:rsidRPr="00D44AF3">
        <w:t xml:space="preserve"> je korištena revidirana i ažurirana SWOT analiza </w:t>
      </w:r>
      <w:r>
        <w:t>zaštite životne sredine</w:t>
      </w:r>
      <w:r w:rsidRPr="00D44AF3">
        <w:t xml:space="preserve"> </w:t>
      </w:r>
      <w:r>
        <w:t xml:space="preserve">opštine </w:t>
      </w:r>
      <w:r w:rsidR="00E35E98">
        <w:t xml:space="preserve">Prnjavor </w:t>
      </w:r>
      <w:r w:rsidRPr="00D44AF3">
        <w:t>(data kao jedan od priloga), te relevantni nalazi provedenih analiza i stavovi ORT.</w:t>
      </w:r>
      <w:r>
        <w:t xml:space="preserve"> </w:t>
      </w:r>
    </w:p>
    <w:p w14:paraId="3C3FCCDB" w14:textId="22187FE8" w:rsidR="004F4EE7" w:rsidRDefault="00E35E98" w:rsidP="004F4EE7">
      <w:pPr>
        <w:jc w:val="both"/>
      </w:pPr>
      <w:r>
        <w:t>F</w:t>
      </w:r>
      <w:r w:rsidR="004F4EE7" w:rsidRPr="00D44AF3">
        <w:t xml:space="preserve">okusi </w:t>
      </w:r>
      <w:r w:rsidR="004F4EE7">
        <w:t>zaštite životne sredine</w:t>
      </w:r>
      <w:r w:rsidR="004F4EE7" w:rsidRPr="00D44AF3">
        <w:t xml:space="preserve"> za naredni period su:</w:t>
      </w:r>
    </w:p>
    <w:p w14:paraId="07D711D9" w14:textId="4440B0FA" w:rsidR="00E35E98" w:rsidRPr="00911575" w:rsidRDefault="00E35E98" w:rsidP="009901CE">
      <w:pPr>
        <w:pStyle w:val="ListParagraph"/>
        <w:numPr>
          <w:ilvl w:val="0"/>
          <w:numId w:val="22"/>
        </w:numPr>
        <w:spacing w:before="0" w:line="240" w:lineRule="auto"/>
        <w:jc w:val="left"/>
        <w:rPr>
          <w:rFonts w:cstheme="minorHAnsi"/>
          <w:lang w:val="sr-Latn-BA"/>
        </w:rPr>
      </w:pPr>
      <w:r w:rsidRPr="00911575">
        <w:rPr>
          <w:rFonts w:cstheme="minorHAnsi"/>
          <w:lang w:val="sr-Latn-BA"/>
        </w:rPr>
        <w:t>Izgradnja kapaciteta</w:t>
      </w:r>
      <w:r>
        <w:rPr>
          <w:rFonts w:cstheme="minorHAnsi"/>
          <w:lang w:val="sr-Latn-BA"/>
        </w:rPr>
        <w:t xml:space="preserve"> za zbrinjavanje čvrstog otpada,</w:t>
      </w:r>
    </w:p>
    <w:p w14:paraId="60D459C4" w14:textId="72B21581" w:rsidR="00E35E98" w:rsidRPr="00911575" w:rsidRDefault="00E35E98" w:rsidP="009901CE">
      <w:pPr>
        <w:pStyle w:val="ListParagraph"/>
        <w:numPr>
          <w:ilvl w:val="0"/>
          <w:numId w:val="22"/>
        </w:numPr>
        <w:spacing w:before="0" w:line="240" w:lineRule="auto"/>
        <w:jc w:val="left"/>
        <w:rPr>
          <w:rFonts w:cstheme="minorHAnsi"/>
          <w:lang w:val="sr-Latn-BA"/>
        </w:rPr>
      </w:pPr>
      <w:r w:rsidRPr="00911575">
        <w:rPr>
          <w:rFonts w:cstheme="minorHAnsi"/>
          <w:lang w:val="sr-Latn-BA"/>
        </w:rPr>
        <w:t>Unapređenje sistema za zbrinjavanje otpadnih voda</w:t>
      </w:r>
      <w:r>
        <w:rPr>
          <w:rFonts w:cstheme="minorHAnsi"/>
          <w:lang w:val="sr-Latn-BA"/>
        </w:rPr>
        <w:t>,</w:t>
      </w:r>
    </w:p>
    <w:p w14:paraId="4D84AD49" w14:textId="7F18904A" w:rsidR="00E35E98" w:rsidRPr="00911575" w:rsidRDefault="00E35E98" w:rsidP="009901CE">
      <w:pPr>
        <w:pStyle w:val="ListParagraph"/>
        <w:numPr>
          <w:ilvl w:val="0"/>
          <w:numId w:val="22"/>
        </w:numPr>
        <w:spacing w:before="0" w:line="240" w:lineRule="auto"/>
        <w:jc w:val="left"/>
        <w:rPr>
          <w:rFonts w:cstheme="minorHAnsi"/>
          <w:lang w:val="sr-Latn-BA"/>
        </w:rPr>
      </w:pPr>
      <w:r w:rsidRPr="00911575">
        <w:rPr>
          <w:rFonts w:cstheme="minorHAnsi"/>
          <w:lang w:val="sr-Latn-BA"/>
        </w:rPr>
        <w:t>Unapređenje energetske efikasnosti</w:t>
      </w:r>
      <w:r>
        <w:rPr>
          <w:rFonts w:cstheme="minorHAnsi"/>
          <w:lang w:val="sr-Latn-BA"/>
        </w:rPr>
        <w:t>,</w:t>
      </w:r>
    </w:p>
    <w:p w14:paraId="4293C4C2" w14:textId="75F8B7BC" w:rsidR="004F4EE7" w:rsidRPr="005F4B92" w:rsidRDefault="00E35E98" w:rsidP="009901CE">
      <w:pPr>
        <w:pStyle w:val="ListParagraph"/>
        <w:numPr>
          <w:ilvl w:val="0"/>
          <w:numId w:val="22"/>
        </w:numPr>
        <w:spacing w:before="0" w:line="240" w:lineRule="auto"/>
        <w:jc w:val="left"/>
        <w:rPr>
          <w:rFonts w:cstheme="minorHAnsi"/>
          <w:lang w:val="sr-Latn-BA"/>
        </w:rPr>
      </w:pPr>
      <w:r w:rsidRPr="00911575">
        <w:rPr>
          <w:rFonts w:cstheme="minorHAnsi"/>
          <w:lang w:val="sr-Latn-BA"/>
        </w:rPr>
        <w:t>Zaštita od elementarnih nepogoda i drugih nesreća</w:t>
      </w:r>
      <w:r w:rsidR="004F4EE7">
        <w:rPr>
          <w:rFonts w:cstheme="minorHAnsi"/>
          <w:lang w:val="sr-Latn-BA"/>
        </w:rPr>
        <w:t>.</w:t>
      </w:r>
    </w:p>
    <w:p w14:paraId="39F023EA" w14:textId="554AF5E4" w:rsidR="004F4EE7" w:rsidRPr="000650B8" w:rsidRDefault="004F4EE7" w:rsidP="005F4B92">
      <w:pPr>
        <w:pStyle w:val="Heading3"/>
        <w:rPr>
          <w:lang w:val="bs-Latn-BA"/>
        </w:rPr>
      </w:pPr>
      <w:bookmarkStart w:id="44" w:name="_Toc488761249"/>
      <w:bookmarkStart w:id="45" w:name="_Toc496413389"/>
      <w:r>
        <w:rPr>
          <w:lang w:val="bs-Latn-BA"/>
        </w:rPr>
        <w:t>V.</w:t>
      </w:r>
      <w:r w:rsidR="00F67084">
        <w:rPr>
          <w:lang w:val="bs-Latn-BA"/>
        </w:rPr>
        <w:t>4</w:t>
      </w:r>
      <w:r>
        <w:rPr>
          <w:lang w:val="bs-Latn-BA"/>
        </w:rPr>
        <w:t>.1</w:t>
      </w:r>
      <w:r w:rsidRPr="000650B8">
        <w:rPr>
          <w:lang w:val="bs-Latn-BA"/>
        </w:rPr>
        <w:t>.</w:t>
      </w:r>
      <w:r w:rsidRPr="000650B8">
        <w:rPr>
          <w:lang w:val="bs-Latn-BA"/>
        </w:rPr>
        <w:tab/>
      </w:r>
      <w:r>
        <w:rPr>
          <w:lang w:val="bs-Latn-BA"/>
        </w:rPr>
        <w:t xml:space="preserve">Pregled sektorskih ciljeva sa </w:t>
      </w:r>
      <w:r w:rsidRPr="000650B8">
        <w:rPr>
          <w:lang w:val="bs-Latn-BA"/>
        </w:rPr>
        <w:t>očekiva</w:t>
      </w:r>
      <w:r>
        <w:rPr>
          <w:lang w:val="bs-Latn-BA"/>
        </w:rPr>
        <w:t>nim</w:t>
      </w:r>
      <w:r w:rsidRPr="000650B8">
        <w:rPr>
          <w:lang w:val="bs-Latn-BA"/>
        </w:rPr>
        <w:t xml:space="preserve"> ishod</w:t>
      </w:r>
      <w:r>
        <w:rPr>
          <w:lang w:val="bs-Latn-BA"/>
        </w:rPr>
        <w:t>ima i</w:t>
      </w:r>
      <w:r w:rsidRPr="000650B8">
        <w:rPr>
          <w:lang w:val="bs-Latn-BA"/>
        </w:rPr>
        <w:t xml:space="preserve"> indikatorima</w:t>
      </w:r>
      <w:bookmarkEnd w:id="44"/>
      <w:bookmarkEnd w:id="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5"/>
        <w:gridCol w:w="3969"/>
        <w:gridCol w:w="2976"/>
      </w:tblGrid>
      <w:tr w:rsidR="004F4EE7" w:rsidRPr="000650B8" w14:paraId="1327A98B" w14:textId="77777777" w:rsidTr="002B108C">
        <w:tc>
          <w:tcPr>
            <w:tcW w:w="2405" w:type="dxa"/>
            <w:shd w:val="clear" w:color="auto" w:fill="C6D9F1"/>
          </w:tcPr>
          <w:p w14:paraId="4C9E8EE4" w14:textId="77777777" w:rsidR="004F4EE7" w:rsidRPr="000650B8" w:rsidRDefault="004F4EE7" w:rsidP="000B6E58">
            <w:pPr>
              <w:rPr>
                <w:rFonts w:ascii="Myriad Pro" w:hAnsi="Myriad Pro"/>
                <w:b/>
                <w:lang w:val="bs-Latn-BA"/>
              </w:rPr>
            </w:pPr>
            <w:r w:rsidRPr="000650B8">
              <w:rPr>
                <w:rFonts w:ascii="Myriad Pro" w:hAnsi="Myriad Pro"/>
                <w:b/>
                <w:lang w:val="bs-Latn-BA"/>
              </w:rPr>
              <w:t>Sektorski cilj</w:t>
            </w:r>
          </w:p>
        </w:tc>
        <w:tc>
          <w:tcPr>
            <w:tcW w:w="3969" w:type="dxa"/>
            <w:shd w:val="clear" w:color="auto" w:fill="C6D9F1"/>
          </w:tcPr>
          <w:p w14:paraId="79DC9438" w14:textId="77777777" w:rsidR="004F4EE7" w:rsidRPr="000650B8" w:rsidRDefault="004F4EE7" w:rsidP="000B6E58">
            <w:pPr>
              <w:rPr>
                <w:rFonts w:ascii="Myriad Pro" w:hAnsi="Myriad Pro"/>
                <w:b/>
                <w:lang w:val="bs-Latn-BA"/>
              </w:rPr>
            </w:pPr>
            <w:r>
              <w:rPr>
                <w:rFonts w:ascii="Myriad Pro" w:hAnsi="Myriad Pro"/>
                <w:b/>
                <w:lang w:val="bs-Latn-BA"/>
              </w:rPr>
              <w:t>Očekivani ishod</w:t>
            </w:r>
          </w:p>
        </w:tc>
        <w:tc>
          <w:tcPr>
            <w:tcW w:w="2976" w:type="dxa"/>
            <w:shd w:val="clear" w:color="auto" w:fill="C6D9F1"/>
          </w:tcPr>
          <w:p w14:paraId="1E2F2EEB" w14:textId="77777777" w:rsidR="004F4EE7" w:rsidRPr="000650B8" w:rsidRDefault="004F4EE7" w:rsidP="000B6E58">
            <w:pPr>
              <w:rPr>
                <w:rFonts w:ascii="Myriad Pro" w:hAnsi="Myriad Pro"/>
                <w:b/>
                <w:lang w:val="bs-Latn-BA"/>
              </w:rPr>
            </w:pPr>
            <w:r>
              <w:rPr>
                <w:rFonts w:ascii="Myriad Pro" w:hAnsi="Myriad Pro"/>
                <w:b/>
                <w:lang w:val="bs-Latn-BA"/>
              </w:rPr>
              <w:t>Indikator</w:t>
            </w:r>
          </w:p>
        </w:tc>
      </w:tr>
      <w:tr w:rsidR="004F4EE7" w:rsidRPr="000650B8" w14:paraId="02D26F90" w14:textId="77777777" w:rsidTr="002B108C">
        <w:tc>
          <w:tcPr>
            <w:tcW w:w="2405" w:type="dxa"/>
          </w:tcPr>
          <w:p w14:paraId="739FE780" w14:textId="6BBEFA5D" w:rsidR="004F4EE7" w:rsidRPr="009A52B5" w:rsidRDefault="002B108C" w:rsidP="002B108C">
            <w:pPr>
              <w:spacing w:after="100"/>
              <w:rPr>
                <w:rFonts w:ascii="Myriad Pro" w:hAnsi="Myriad Pro"/>
                <w:bCs/>
                <w:color w:val="FF0000"/>
                <w:lang w:val="it-IT"/>
              </w:rPr>
            </w:pPr>
            <w:r w:rsidRPr="002B108C">
              <w:rPr>
                <w:rFonts w:asciiTheme="minorHAnsi" w:hAnsiTheme="minorHAnsi" w:cstheme="minorHAnsi"/>
                <w:b/>
              </w:rPr>
              <w:t>3.1. Unapređeni kapaciteti za zbrinjavanje čvrstog otpada i otpadnih voda do 2020. godine</w:t>
            </w:r>
          </w:p>
        </w:tc>
        <w:tc>
          <w:tcPr>
            <w:tcW w:w="3969" w:type="dxa"/>
          </w:tcPr>
          <w:p w14:paraId="161FE27C" w14:textId="77777777" w:rsidR="00C41872" w:rsidRPr="00C41872" w:rsidRDefault="00C41872" w:rsidP="00C41872">
            <w:pPr>
              <w:numPr>
                <w:ilvl w:val="0"/>
                <w:numId w:val="15"/>
              </w:numPr>
              <w:tabs>
                <w:tab w:val="clear" w:pos="1080"/>
              </w:tabs>
              <w:ind w:left="173" w:firstLine="0"/>
              <w:jc w:val="both"/>
              <w:rPr>
                <w:rFonts w:asciiTheme="minorHAnsi" w:hAnsiTheme="minorHAnsi" w:cstheme="minorHAnsi"/>
                <w:noProof/>
                <w:lang w:val="hr-HR"/>
              </w:rPr>
            </w:pPr>
            <w:r w:rsidRPr="00C41872">
              <w:rPr>
                <w:rFonts w:asciiTheme="minorHAnsi" w:hAnsiTheme="minorHAnsi" w:cstheme="minorHAnsi"/>
                <w:noProof/>
                <w:lang w:val="hr-HR"/>
              </w:rPr>
              <w:t>Pripremljena informaciona i dokumentaciona osnova za izgradnju postrojenja za prečišćavanje otpadnih voda do 2020.</w:t>
            </w:r>
          </w:p>
          <w:p w14:paraId="60C3526F" w14:textId="2F045189" w:rsidR="002B108C" w:rsidRPr="002B108C" w:rsidRDefault="002B108C" w:rsidP="00C41872">
            <w:pPr>
              <w:numPr>
                <w:ilvl w:val="0"/>
                <w:numId w:val="15"/>
              </w:numPr>
              <w:tabs>
                <w:tab w:val="clear" w:pos="1080"/>
              </w:tabs>
              <w:ind w:left="173" w:firstLine="0"/>
              <w:jc w:val="both"/>
              <w:rPr>
                <w:rFonts w:asciiTheme="minorHAnsi" w:hAnsiTheme="minorHAnsi" w:cstheme="minorHAnsi"/>
                <w:noProof/>
                <w:lang w:val="hr-HR"/>
              </w:rPr>
            </w:pPr>
            <w:r w:rsidRPr="002B108C">
              <w:rPr>
                <w:rFonts w:asciiTheme="minorHAnsi" w:hAnsiTheme="minorHAnsi" w:cstheme="minorHAnsi"/>
                <w:noProof/>
                <w:lang w:val="hr-HR"/>
              </w:rPr>
              <w:t xml:space="preserve">Sistemom organizovanog prikupljanja čvrstog otpada obuhvaćeno 90% domaćinstava u ruralnim i 100% u urbanim naseljima do kraja 2020. godine </w:t>
            </w:r>
          </w:p>
          <w:p w14:paraId="403E59A5" w14:textId="77777777" w:rsidR="002B108C" w:rsidRPr="002B108C" w:rsidRDefault="002B108C" w:rsidP="00C41872">
            <w:pPr>
              <w:numPr>
                <w:ilvl w:val="0"/>
                <w:numId w:val="15"/>
              </w:numPr>
              <w:tabs>
                <w:tab w:val="clear" w:pos="1080"/>
              </w:tabs>
              <w:ind w:left="173" w:firstLine="0"/>
              <w:jc w:val="both"/>
              <w:rPr>
                <w:rFonts w:asciiTheme="minorHAnsi" w:hAnsiTheme="minorHAnsi" w:cstheme="minorHAnsi"/>
                <w:noProof/>
                <w:lang w:val="hr-HR"/>
              </w:rPr>
            </w:pPr>
            <w:r w:rsidRPr="002B108C">
              <w:rPr>
                <w:rFonts w:asciiTheme="minorHAnsi" w:hAnsiTheme="minorHAnsi" w:cstheme="minorHAnsi"/>
                <w:noProof/>
                <w:lang w:val="hr-HR"/>
              </w:rPr>
              <w:t>Ostvareni godišnji prihod od prodaje reciklažnog otpada povećan za 3 puta do kraja 2020. godine u odnosu na 2017. godinu</w:t>
            </w:r>
          </w:p>
          <w:p w14:paraId="3301E94E" w14:textId="77777777" w:rsidR="002B108C" w:rsidRPr="002B108C" w:rsidRDefault="002B108C" w:rsidP="00C41872">
            <w:pPr>
              <w:numPr>
                <w:ilvl w:val="0"/>
                <w:numId w:val="15"/>
              </w:numPr>
              <w:tabs>
                <w:tab w:val="clear" w:pos="1080"/>
              </w:tabs>
              <w:ind w:left="173" w:firstLine="0"/>
              <w:jc w:val="both"/>
              <w:rPr>
                <w:rFonts w:asciiTheme="minorHAnsi" w:hAnsiTheme="minorHAnsi" w:cstheme="minorHAnsi"/>
                <w:noProof/>
                <w:lang w:val="hr-HR"/>
              </w:rPr>
            </w:pPr>
            <w:r w:rsidRPr="002B108C">
              <w:rPr>
                <w:rFonts w:asciiTheme="minorHAnsi" w:hAnsiTheme="minorHAnsi" w:cstheme="minorHAnsi"/>
                <w:noProof/>
                <w:lang w:val="hr-HR"/>
              </w:rPr>
              <w:t>Najmanje 25% čvrstog otpada se reciklira do 2020. godine</w:t>
            </w:r>
          </w:p>
          <w:p w14:paraId="690C3F6F" w14:textId="55EE9725" w:rsidR="00174A8B" w:rsidRPr="000650B8" w:rsidRDefault="00174A8B" w:rsidP="00C41872">
            <w:pPr>
              <w:numPr>
                <w:ilvl w:val="0"/>
                <w:numId w:val="15"/>
              </w:numPr>
              <w:tabs>
                <w:tab w:val="clear" w:pos="1080"/>
              </w:tabs>
              <w:ind w:left="173" w:firstLine="0"/>
              <w:jc w:val="both"/>
              <w:rPr>
                <w:rFonts w:ascii="Myriad Pro" w:hAnsi="Myriad Pro"/>
                <w:color w:val="FF0000"/>
                <w:lang w:val="bs-Latn-BA"/>
              </w:rPr>
            </w:pPr>
            <w:r w:rsidRPr="00174A8B">
              <w:rPr>
                <w:rFonts w:asciiTheme="minorHAnsi" w:hAnsiTheme="minorHAnsi" w:cstheme="minorHAnsi"/>
                <w:noProof/>
                <w:lang w:val="hr-HR"/>
              </w:rPr>
              <w:t>Smanjena opasnost od zoonoza na području opštine do 2020.</w:t>
            </w:r>
          </w:p>
        </w:tc>
        <w:tc>
          <w:tcPr>
            <w:tcW w:w="2976" w:type="dxa"/>
          </w:tcPr>
          <w:p w14:paraId="2C788767" w14:textId="27306D38" w:rsidR="00C41872" w:rsidRPr="00C41872" w:rsidRDefault="00C41872" w:rsidP="009901CE">
            <w:pPr>
              <w:numPr>
                <w:ilvl w:val="0"/>
                <w:numId w:val="15"/>
              </w:numPr>
              <w:tabs>
                <w:tab w:val="clear" w:pos="1080"/>
              </w:tabs>
              <w:spacing w:before="60"/>
              <w:ind w:left="260" w:hanging="284"/>
              <w:rPr>
                <w:rFonts w:asciiTheme="minorHAnsi" w:hAnsiTheme="minorHAnsi" w:cstheme="minorHAnsi"/>
                <w:noProof/>
                <w:lang w:val="hr-HR"/>
              </w:rPr>
            </w:pPr>
            <w:r w:rsidRPr="00C41872">
              <w:rPr>
                <w:rFonts w:asciiTheme="minorHAnsi" w:hAnsiTheme="minorHAnsi" w:cstheme="minorHAnsi"/>
                <w:noProof/>
                <w:lang w:val="hr-HR"/>
              </w:rPr>
              <w:t>Dokumentacija za izgradnju postrojenja za prečišćavanje otpadnih voda</w:t>
            </w:r>
          </w:p>
          <w:p w14:paraId="02142E8A" w14:textId="02525AF8" w:rsidR="002B108C" w:rsidRPr="002B108C" w:rsidRDefault="002B108C" w:rsidP="009901CE">
            <w:pPr>
              <w:numPr>
                <w:ilvl w:val="0"/>
                <w:numId w:val="15"/>
              </w:numPr>
              <w:tabs>
                <w:tab w:val="clear" w:pos="1080"/>
              </w:tabs>
              <w:spacing w:before="60"/>
              <w:ind w:left="260" w:hanging="284"/>
              <w:rPr>
                <w:rFonts w:asciiTheme="minorHAnsi" w:hAnsiTheme="minorHAnsi" w:cstheme="minorHAnsi"/>
                <w:noProof/>
                <w:lang w:val="hr-HR"/>
              </w:rPr>
            </w:pPr>
            <w:r w:rsidRPr="002B108C">
              <w:rPr>
                <w:rFonts w:asciiTheme="minorHAnsi" w:hAnsiTheme="minorHAnsi" w:cstheme="minorHAnsi"/>
                <w:noProof/>
                <w:lang w:val="hr-HR"/>
              </w:rPr>
              <w:t xml:space="preserve">Broj domaćinstava obuhvaćenih sistemom organizovanog prikupljanja čvrstog otpada </w:t>
            </w:r>
          </w:p>
          <w:p w14:paraId="5B4A153F" w14:textId="77777777" w:rsidR="002B108C" w:rsidRPr="002B108C" w:rsidRDefault="002B108C" w:rsidP="009901CE">
            <w:pPr>
              <w:numPr>
                <w:ilvl w:val="0"/>
                <w:numId w:val="15"/>
              </w:numPr>
              <w:tabs>
                <w:tab w:val="clear" w:pos="1080"/>
              </w:tabs>
              <w:spacing w:before="60"/>
              <w:ind w:left="260" w:hanging="284"/>
              <w:rPr>
                <w:rFonts w:asciiTheme="minorHAnsi" w:hAnsiTheme="minorHAnsi" w:cstheme="minorHAnsi"/>
                <w:noProof/>
                <w:lang w:val="hr-HR"/>
              </w:rPr>
            </w:pPr>
            <w:r w:rsidRPr="002B108C">
              <w:rPr>
                <w:rFonts w:asciiTheme="minorHAnsi" w:hAnsiTheme="minorHAnsi" w:cstheme="minorHAnsi"/>
                <w:noProof/>
                <w:lang w:val="hr-HR"/>
              </w:rPr>
              <w:t>Prihod od prodaje reciklažnog otpada</w:t>
            </w:r>
          </w:p>
          <w:p w14:paraId="441E016B" w14:textId="77777777" w:rsidR="002B108C" w:rsidRPr="002B108C" w:rsidRDefault="002B108C" w:rsidP="009901CE">
            <w:pPr>
              <w:numPr>
                <w:ilvl w:val="0"/>
                <w:numId w:val="15"/>
              </w:numPr>
              <w:tabs>
                <w:tab w:val="clear" w:pos="1080"/>
              </w:tabs>
              <w:spacing w:before="60"/>
              <w:ind w:left="260" w:hanging="284"/>
              <w:rPr>
                <w:rFonts w:asciiTheme="minorHAnsi" w:hAnsiTheme="minorHAnsi" w:cstheme="minorHAnsi"/>
                <w:noProof/>
                <w:lang w:val="hr-HR"/>
              </w:rPr>
            </w:pPr>
            <w:r w:rsidRPr="002B108C">
              <w:rPr>
                <w:rFonts w:asciiTheme="minorHAnsi" w:hAnsiTheme="minorHAnsi" w:cstheme="minorHAnsi"/>
                <w:noProof/>
                <w:lang w:val="hr-HR"/>
              </w:rPr>
              <w:t>Količina recikliranog čvrstog otpada</w:t>
            </w:r>
          </w:p>
          <w:p w14:paraId="5C45F4F0" w14:textId="72844B48" w:rsidR="00174A8B" w:rsidRPr="000650B8" w:rsidRDefault="00174A8B" w:rsidP="009901CE">
            <w:pPr>
              <w:numPr>
                <w:ilvl w:val="0"/>
                <w:numId w:val="15"/>
              </w:numPr>
              <w:tabs>
                <w:tab w:val="clear" w:pos="1080"/>
              </w:tabs>
              <w:spacing w:before="60"/>
              <w:ind w:left="260" w:hanging="284"/>
              <w:rPr>
                <w:rFonts w:ascii="Myriad Pro" w:hAnsi="Myriad Pro"/>
                <w:lang w:val="bs-Latn-BA"/>
              </w:rPr>
            </w:pPr>
            <w:r w:rsidRPr="00174A8B">
              <w:rPr>
                <w:rFonts w:asciiTheme="minorHAnsi" w:hAnsiTheme="minorHAnsi" w:cstheme="minorHAnsi"/>
                <w:noProof/>
                <w:lang w:val="hr-HR"/>
              </w:rPr>
              <w:t>Stepen opasnosti od zoonoza</w:t>
            </w:r>
          </w:p>
        </w:tc>
      </w:tr>
      <w:tr w:rsidR="004F4EE7" w:rsidRPr="000650B8" w14:paraId="0A3F5CB0" w14:textId="77777777" w:rsidTr="002B108C">
        <w:tc>
          <w:tcPr>
            <w:tcW w:w="2405" w:type="dxa"/>
          </w:tcPr>
          <w:p w14:paraId="5E0E88A7" w14:textId="2FFE0CC9" w:rsidR="004F4EE7" w:rsidRPr="009A52B5" w:rsidRDefault="00590082" w:rsidP="00590082">
            <w:pPr>
              <w:spacing w:after="100"/>
              <w:rPr>
                <w:rFonts w:ascii="Myriad Pro" w:hAnsi="Myriad Pro"/>
                <w:smallCaps/>
                <w:color w:val="FF0000"/>
                <w:lang w:val="bs-Latn-BA"/>
              </w:rPr>
            </w:pPr>
            <w:r w:rsidRPr="00590082">
              <w:rPr>
                <w:rFonts w:asciiTheme="minorHAnsi" w:hAnsiTheme="minorHAnsi" w:cstheme="minorHAnsi"/>
                <w:b/>
              </w:rPr>
              <w:t xml:space="preserve">3.2. Poboljšana energetska efikasnost javnih objekata i </w:t>
            </w:r>
            <w:r w:rsidRPr="00590082">
              <w:rPr>
                <w:rFonts w:asciiTheme="minorHAnsi" w:hAnsiTheme="minorHAnsi" w:cstheme="minorHAnsi"/>
                <w:b/>
              </w:rPr>
              <w:lastRenderedPageBreak/>
              <w:t>unapređeni kapaciteti za korištenje obnovljivih izvora energije do 2020. godine</w:t>
            </w:r>
          </w:p>
        </w:tc>
        <w:tc>
          <w:tcPr>
            <w:tcW w:w="3969" w:type="dxa"/>
          </w:tcPr>
          <w:p w14:paraId="530E106F" w14:textId="77777777" w:rsidR="00590082" w:rsidRPr="00590082" w:rsidRDefault="00590082" w:rsidP="009901CE">
            <w:pPr>
              <w:numPr>
                <w:ilvl w:val="0"/>
                <w:numId w:val="15"/>
              </w:numPr>
              <w:tabs>
                <w:tab w:val="clear" w:pos="1080"/>
              </w:tabs>
              <w:ind w:left="173" w:firstLine="0"/>
              <w:jc w:val="both"/>
              <w:rPr>
                <w:rFonts w:asciiTheme="minorHAnsi" w:hAnsiTheme="minorHAnsi" w:cstheme="minorHAnsi"/>
                <w:noProof/>
                <w:lang w:val="hr-HR"/>
              </w:rPr>
            </w:pPr>
            <w:r w:rsidRPr="00590082">
              <w:rPr>
                <w:rFonts w:asciiTheme="minorHAnsi" w:hAnsiTheme="minorHAnsi" w:cstheme="minorHAnsi"/>
                <w:noProof/>
                <w:lang w:val="hr-HR"/>
              </w:rPr>
              <w:lastRenderedPageBreak/>
              <w:t xml:space="preserve">Najmanje 30% javnih objekata koristi obnovljive izvore energije za grijanje do 2020. </w:t>
            </w:r>
          </w:p>
          <w:p w14:paraId="27B934F1" w14:textId="5D994412" w:rsidR="004F4EE7" w:rsidRPr="000650B8" w:rsidRDefault="00590082" w:rsidP="009901CE">
            <w:pPr>
              <w:numPr>
                <w:ilvl w:val="0"/>
                <w:numId w:val="15"/>
              </w:numPr>
              <w:tabs>
                <w:tab w:val="clear" w:pos="1080"/>
              </w:tabs>
              <w:ind w:left="173" w:firstLine="0"/>
              <w:jc w:val="both"/>
              <w:rPr>
                <w:rFonts w:ascii="Myriad Pro" w:hAnsi="Myriad Pro"/>
                <w:color w:val="FF0000"/>
                <w:lang w:val="bs-Latn-BA"/>
              </w:rPr>
            </w:pPr>
            <w:r w:rsidRPr="00590082">
              <w:rPr>
                <w:rFonts w:asciiTheme="minorHAnsi" w:hAnsiTheme="minorHAnsi" w:cstheme="minorHAnsi"/>
                <w:noProof/>
                <w:lang w:val="hr-HR"/>
              </w:rPr>
              <w:lastRenderedPageBreak/>
              <w:t>Smanjena potrošnja energenta za zagrijavanje javnih objekata za 40% do 2020. u odnosu na 2017. godinu</w:t>
            </w:r>
          </w:p>
        </w:tc>
        <w:tc>
          <w:tcPr>
            <w:tcW w:w="2976" w:type="dxa"/>
          </w:tcPr>
          <w:p w14:paraId="46E03CE6" w14:textId="77777777" w:rsidR="00590082" w:rsidRPr="00590082" w:rsidRDefault="00590082" w:rsidP="009901CE">
            <w:pPr>
              <w:numPr>
                <w:ilvl w:val="0"/>
                <w:numId w:val="15"/>
              </w:numPr>
              <w:tabs>
                <w:tab w:val="clear" w:pos="1080"/>
              </w:tabs>
              <w:spacing w:before="60"/>
              <w:ind w:left="260" w:hanging="284"/>
              <w:rPr>
                <w:rFonts w:asciiTheme="minorHAnsi" w:hAnsiTheme="minorHAnsi" w:cstheme="minorHAnsi"/>
                <w:noProof/>
                <w:lang w:val="hr-HR"/>
              </w:rPr>
            </w:pPr>
            <w:r w:rsidRPr="00590082">
              <w:rPr>
                <w:rFonts w:asciiTheme="minorHAnsi" w:hAnsiTheme="minorHAnsi" w:cstheme="minorHAnsi"/>
                <w:noProof/>
                <w:lang w:val="hr-HR"/>
              </w:rPr>
              <w:lastRenderedPageBreak/>
              <w:t>Broj javnih objekata koji koriste obnovljive izvore energije za grijanje</w:t>
            </w:r>
          </w:p>
          <w:p w14:paraId="7333187D" w14:textId="238D0C9D" w:rsidR="004F4EE7" w:rsidRPr="000650B8" w:rsidRDefault="00590082" w:rsidP="009901CE">
            <w:pPr>
              <w:numPr>
                <w:ilvl w:val="0"/>
                <w:numId w:val="15"/>
              </w:numPr>
              <w:tabs>
                <w:tab w:val="clear" w:pos="1080"/>
              </w:tabs>
              <w:spacing w:before="60"/>
              <w:ind w:left="260" w:hanging="284"/>
              <w:rPr>
                <w:rFonts w:ascii="Myriad Pro" w:hAnsi="Myriad Pro"/>
                <w:lang w:val="bs-Latn-BA"/>
              </w:rPr>
            </w:pPr>
            <w:r w:rsidRPr="00590082">
              <w:rPr>
                <w:rFonts w:asciiTheme="minorHAnsi" w:hAnsiTheme="minorHAnsi" w:cstheme="minorHAnsi"/>
                <w:noProof/>
                <w:lang w:val="hr-HR"/>
              </w:rPr>
              <w:lastRenderedPageBreak/>
              <w:t>Potrošnja energenta za zagrijavanje javnih objekata</w:t>
            </w:r>
          </w:p>
        </w:tc>
      </w:tr>
      <w:tr w:rsidR="004F4EE7" w:rsidRPr="000650B8" w14:paraId="4A18F0F3" w14:textId="77777777" w:rsidTr="002B108C">
        <w:tc>
          <w:tcPr>
            <w:tcW w:w="2405" w:type="dxa"/>
          </w:tcPr>
          <w:p w14:paraId="3BD3875B" w14:textId="7859CA2D" w:rsidR="004F4EE7" w:rsidRPr="009A52B5" w:rsidRDefault="00590082" w:rsidP="00590082">
            <w:pPr>
              <w:spacing w:after="100"/>
              <w:rPr>
                <w:rFonts w:ascii="Myriad Pro" w:hAnsi="Myriad Pro"/>
                <w:color w:val="FF0000"/>
                <w:lang w:val="bs-Latn-BA"/>
              </w:rPr>
            </w:pPr>
            <w:r w:rsidRPr="00590082">
              <w:rPr>
                <w:rFonts w:asciiTheme="minorHAnsi" w:hAnsiTheme="minorHAnsi" w:cstheme="minorHAnsi"/>
                <w:b/>
              </w:rPr>
              <w:lastRenderedPageBreak/>
              <w:t>3.3. Smanjen rizik od elementarnih nepogoda i drugih nesreća do 2020. godine</w:t>
            </w:r>
          </w:p>
        </w:tc>
        <w:tc>
          <w:tcPr>
            <w:tcW w:w="3969" w:type="dxa"/>
          </w:tcPr>
          <w:p w14:paraId="2316986F" w14:textId="77777777" w:rsidR="004F4EE7" w:rsidRPr="002003F6" w:rsidRDefault="00590082" w:rsidP="009901CE">
            <w:pPr>
              <w:numPr>
                <w:ilvl w:val="0"/>
                <w:numId w:val="15"/>
              </w:numPr>
              <w:tabs>
                <w:tab w:val="clear" w:pos="1080"/>
              </w:tabs>
              <w:ind w:left="173" w:firstLine="0"/>
              <w:jc w:val="both"/>
              <w:rPr>
                <w:rFonts w:ascii="Myriad Pro" w:hAnsi="Myriad Pro"/>
                <w:color w:val="FF0000"/>
                <w:lang w:val="bs-Latn-BA"/>
              </w:rPr>
            </w:pPr>
            <w:r w:rsidRPr="00590082">
              <w:rPr>
                <w:rFonts w:asciiTheme="minorHAnsi" w:hAnsiTheme="minorHAnsi" w:cstheme="minorHAnsi"/>
                <w:noProof/>
                <w:lang w:val="hr-HR"/>
              </w:rPr>
              <w:t>Površina plavnog područja smanjena za 50% do kraja 2020. godine u odnosu na 2017. godinu</w:t>
            </w:r>
          </w:p>
          <w:p w14:paraId="14640CE1" w14:textId="77777777" w:rsidR="002003F6" w:rsidRPr="003C3E1D" w:rsidRDefault="002003F6" w:rsidP="009901CE">
            <w:pPr>
              <w:numPr>
                <w:ilvl w:val="0"/>
                <w:numId w:val="15"/>
              </w:numPr>
              <w:tabs>
                <w:tab w:val="clear" w:pos="1080"/>
              </w:tabs>
              <w:ind w:left="173" w:firstLine="0"/>
              <w:jc w:val="both"/>
              <w:rPr>
                <w:rFonts w:ascii="Myriad Pro" w:hAnsi="Myriad Pro"/>
                <w:color w:val="FF0000"/>
                <w:lang w:val="bs-Latn-BA"/>
              </w:rPr>
            </w:pPr>
            <w:r w:rsidRPr="002003F6">
              <w:rPr>
                <w:rFonts w:asciiTheme="minorHAnsi" w:hAnsiTheme="minorHAnsi" w:cstheme="minorHAnsi"/>
                <w:noProof/>
                <w:lang w:val="hr-HR"/>
              </w:rPr>
              <w:t>Vrijednost materijalne štete od elementarnih nepogoda smanjena za 50% (godišnji prosjek) u periodu 2017-2020. u odnosu na period 2012-2016.</w:t>
            </w:r>
          </w:p>
          <w:p w14:paraId="16D0BE2B" w14:textId="5D4ED945" w:rsidR="003C3E1D" w:rsidRPr="000650B8" w:rsidRDefault="003C3E1D" w:rsidP="009901CE">
            <w:pPr>
              <w:numPr>
                <w:ilvl w:val="0"/>
                <w:numId w:val="15"/>
              </w:numPr>
              <w:tabs>
                <w:tab w:val="clear" w:pos="1080"/>
              </w:tabs>
              <w:ind w:left="173" w:firstLine="0"/>
              <w:jc w:val="both"/>
              <w:rPr>
                <w:rFonts w:ascii="Myriad Pro" w:hAnsi="Myriad Pro"/>
                <w:color w:val="FF0000"/>
                <w:lang w:val="bs-Latn-BA"/>
              </w:rPr>
            </w:pPr>
            <w:r w:rsidRPr="003C3E1D">
              <w:rPr>
                <w:rFonts w:asciiTheme="minorHAnsi" w:hAnsiTheme="minorHAnsi" w:cstheme="minorHAnsi"/>
                <w:noProof/>
                <w:highlight w:val="cyan"/>
                <w:lang w:val="hr-HR"/>
              </w:rPr>
              <w:t>Osigurana zdravstvena ispravnost vode sa izvorišta Povelič do 2019.</w:t>
            </w:r>
          </w:p>
        </w:tc>
        <w:tc>
          <w:tcPr>
            <w:tcW w:w="2976" w:type="dxa"/>
          </w:tcPr>
          <w:p w14:paraId="79C8163D" w14:textId="77777777" w:rsidR="004F4EE7" w:rsidRPr="002003F6" w:rsidRDefault="00590082" w:rsidP="009901CE">
            <w:pPr>
              <w:numPr>
                <w:ilvl w:val="0"/>
                <w:numId w:val="15"/>
              </w:numPr>
              <w:tabs>
                <w:tab w:val="clear" w:pos="1080"/>
              </w:tabs>
              <w:spacing w:before="60"/>
              <w:ind w:left="260" w:hanging="284"/>
              <w:rPr>
                <w:rFonts w:ascii="Myriad Pro" w:hAnsi="Myriad Pro"/>
                <w:lang w:val="bs-Latn-BA"/>
              </w:rPr>
            </w:pPr>
            <w:r w:rsidRPr="00590082">
              <w:rPr>
                <w:rFonts w:asciiTheme="minorHAnsi" w:hAnsiTheme="minorHAnsi" w:cstheme="minorHAnsi"/>
                <w:noProof/>
                <w:lang w:val="hr-HR"/>
              </w:rPr>
              <w:t>Površina plavnog područja</w:t>
            </w:r>
          </w:p>
          <w:p w14:paraId="7C7D11D6" w14:textId="77777777" w:rsidR="002003F6" w:rsidRPr="003C3E1D" w:rsidRDefault="002003F6" w:rsidP="009901CE">
            <w:pPr>
              <w:numPr>
                <w:ilvl w:val="0"/>
                <w:numId w:val="15"/>
              </w:numPr>
              <w:tabs>
                <w:tab w:val="clear" w:pos="1080"/>
              </w:tabs>
              <w:spacing w:before="60"/>
              <w:ind w:left="260" w:hanging="284"/>
              <w:rPr>
                <w:rFonts w:ascii="Myriad Pro" w:hAnsi="Myriad Pro"/>
                <w:lang w:val="bs-Latn-BA"/>
              </w:rPr>
            </w:pPr>
            <w:r w:rsidRPr="002003F6">
              <w:rPr>
                <w:rFonts w:asciiTheme="minorHAnsi" w:hAnsiTheme="minorHAnsi" w:cstheme="minorHAnsi"/>
                <w:noProof/>
                <w:lang w:val="hr-HR"/>
              </w:rPr>
              <w:t>Vrijednost materijalne štete od elementarnih nepogoda</w:t>
            </w:r>
          </w:p>
          <w:p w14:paraId="7BAA29F7" w14:textId="65224862" w:rsidR="003C3E1D" w:rsidRPr="000650B8" w:rsidRDefault="003C3E1D" w:rsidP="009901CE">
            <w:pPr>
              <w:numPr>
                <w:ilvl w:val="0"/>
                <w:numId w:val="15"/>
              </w:numPr>
              <w:tabs>
                <w:tab w:val="clear" w:pos="1080"/>
              </w:tabs>
              <w:spacing w:before="60"/>
              <w:ind w:left="260" w:hanging="284"/>
              <w:rPr>
                <w:rFonts w:ascii="Myriad Pro" w:hAnsi="Myriad Pro"/>
                <w:lang w:val="bs-Latn-BA"/>
              </w:rPr>
            </w:pPr>
            <w:r w:rsidRPr="003C3E1D">
              <w:rPr>
                <w:noProof/>
                <w:highlight w:val="cyan"/>
                <w:lang w:val="hr-HR"/>
              </w:rPr>
              <w:t>Zdravstvena ispravnost vode sa izvorišta Povelič</w:t>
            </w:r>
          </w:p>
        </w:tc>
      </w:tr>
    </w:tbl>
    <w:p w14:paraId="39E07CCF" w14:textId="7FD687E7" w:rsidR="004F4EE7" w:rsidRDefault="004F4EE7" w:rsidP="005F4B92">
      <w:pPr>
        <w:pStyle w:val="Heading3"/>
        <w:rPr>
          <w:rFonts w:eastAsia="TTE1FFBE00t00"/>
        </w:rPr>
      </w:pPr>
      <w:bookmarkStart w:id="46" w:name="_Toc488761250"/>
      <w:bookmarkStart w:id="47" w:name="_Toc496413390"/>
      <w:r>
        <w:rPr>
          <w:rFonts w:eastAsia="TTE1FFBE00t00"/>
        </w:rPr>
        <w:t>V.</w:t>
      </w:r>
      <w:r w:rsidR="00F67084">
        <w:rPr>
          <w:rFonts w:eastAsia="TTE1FFBE00t00"/>
        </w:rPr>
        <w:t>4</w:t>
      </w:r>
      <w:r>
        <w:rPr>
          <w:rFonts w:eastAsia="TTE1FFBE00t00"/>
        </w:rPr>
        <w:t>.2. Usklađenost</w:t>
      </w:r>
      <w:r w:rsidRPr="000650B8">
        <w:rPr>
          <w:rFonts w:eastAsia="TTE1FFBE00t00"/>
        </w:rPr>
        <w:t xml:space="preserve"> sa strateškim dokumentima viših nivoa</w:t>
      </w:r>
      <w:bookmarkEnd w:id="46"/>
      <w:bookmarkEnd w:id="47"/>
    </w:p>
    <w:p w14:paraId="7420E591" w14:textId="77777777" w:rsidR="004F4EE7" w:rsidRDefault="004F4EE7" w:rsidP="004F4EE7">
      <w:r w:rsidRPr="001B79A1">
        <w:t>Elementi Strategije su u skladu sa</w:t>
      </w:r>
      <w:r>
        <w:t xml:space="preserve"> sljedećim strateškim dokumentima:</w:t>
      </w:r>
    </w:p>
    <w:p w14:paraId="2D13D9BF" w14:textId="77777777" w:rsidR="004F4EE7" w:rsidRPr="00D521CF" w:rsidRDefault="004F4EE7" w:rsidP="009901CE">
      <w:pPr>
        <w:pStyle w:val="ListParagraph"/>
        <w:numPr>
          <w:ilvl w:val="0"/>
          <w:numId w:val="24"/>
        </w:numPr>
        <w:spacing w:before="0" w:line="240" w:lineRule="auto"/>
        <w:ind w:left="714" w:hanging="357"/>
        <w:rPr>
          <w:rFonts w:asciiTheme="minorHAnsi" w:eastAsiaTheme="minorHAnsi" w:hAnsiTheme="minorHAnsi" w:cstheme="minorHAnsi"/>
          <w:bCs/>
          <w:szCs w:val="26"/>
        </w:rPr>
      </w:pPr>
      <w:r w:rsidRPr="00D521CF">
        <w:rPr>
          <w:rFonts w:asciiTheme="minorHAnsi" w:eastAsiaTheme="minorHAnsi" w:hAnsiTheme="minorHAnsi" w:cstheme="minorHAnsi"/>
          <w:bCs/>
          <w:szCs w:val="26"/>
        </w:rPr>
        <w:t>Strategijom integralnog upravljanja vodama Republike Srpske 2015–2024. to jest sa Opštim ciljem Zaštita voda u okviru integralne zaštite i unapređenja životne sredine,</w:t>
      </w:r>
    </w:p>
    <w:p w14:paraId="6D9547C8" w14:textId="77777777" w:rsidR="004F4EE7" w:rsidRPr="00D521CF" w:rsidRDefault="004F4EE7" w:rsidP="009901CE">
      <w:pPr>
        <w:pStyle w:val="ListParagraph"/>
        <w:numPr>
          <w:ilvl w:val="0"/>
          <w:numId w:val="24"/>
        </w:numPr>
        <w:spacing w:before="0" w:line="240" w:lineRule="auto"/>
        <w:ind w:left="714" w:hanging="357"/>
        <w:rPr>
          <w:rFonts w:asciiTheme="minorHAnsi" w:eastAsiaTheme="minorHAnsi" w:hAnsiTheme="minorHAnsi" w:cstheme="minorHAnsi"/>
          <w:bCs/>
          <w:szCs w:val="26"/>
        </w:rPr>
      </w:pPr>
      <w:r w:rsidRPr="00D521CF">
        <w:rPr>
          <w:rFonts w:asciiTheme="minorHAnsi" w:eastAsiaTheme="minorHAnsi" w:hAnsiTheme="minorHAnsi" w:cstheme="minorHAnsi"/>
          <w:bCs/>
          <w:szCs w:val="26"/>
        </w:rPr>
        <w:t>Akcioni plan energetske efikasnosti Republike Srpske do 2018. godine sa relevantnim dijelovima koji se odnose na unapređenje energetske efikanosti u javnim objektima.</w:t>
      </w:r>
    </w:p>
    <w:p w14:paraId="12EFA3DE" w14:textId="796655B1" w:rsidR="004F4EE7" w:rsidRDefault="004F4EE7" w:rsidP="004F4EE7">
      <w:pPr>
        <w:pStyle w:val="Heading3"/>
      </w:pPr>
      <w:bookmarkStart w:id="48" w:name="_Toc488761251"/>
      <w:bookmarkStart w:id="49" w:name="_Toc496413391"/>
      <w:r w:rsidRPr="00D33DD0">
        <w:t>V.</w:t>
      </w:r>
      <w:r w:rsidR="00F67084">
        <w:t>4</w:t>
      </w:r>
      <w:r w:rsidRPr="00D33DD0">
        <w:t>.3.</w:t>
      </w:r>
      <w:r w:rsidRPr="00E526C4">
        <w:rPr>
          <w:color w:val="FF0000"/>
        </w:rPr>
        <w:t xml:space="preserve"> </w:t>
      </w:r>
      <w:r w:rsidRPr="00E526C4">
        <w:t>Inicijative međuop</w:t>
      </w:r>
      <w:r w:rsidR="009138A4">
        <w:t>št</w:t>
      </w:r>
      <w:r w:rsidRPr="00E526C4">
        <w:t>inske saradnje</w:t>
      </w:r>
      <w:bookmarkEnd w:id="48"/>
      <w:bookmarkEnd w:id="49"/>
      <w:r w:rsidRPr="00E526C4">
        <w:t xml:space="preserve"> </w:t>
      </w:r>
    </w:p>
    <w:p w14:paraId="0E6E37D2" w14:textId="6D23953F" w:rsidR="004F4EE7" w:rsidRPr="00D521CF" w:rsidRDefault="004F4EE7" w:rsidP="004F4EE7">
      <w:pPr>
        <w:jc w:val="both"/>
        <w:rPr>
          <w:lang w:val="en-US"/>
        </w:rPr>
      </w:pPr>
      <w:r>
        <w:rPr>
          <w:lang w:val="en-US"/>
        </w:rPr>
        <w:t>Međuopštinska saradnja se može fokusirati na implementaciju d</w:t>
      </w:r>
      <w:r w:rsidR="00783617">
        <w:rPr>
          <w:lang w:val="en-US"/>
        </w:rPr>
        <w:t>u</w:t>
      </w:r>
      <w:r>
        <w:rPr>
          <w:lang w:val="en-US"/>
        </w:rPr>
        <w:t>goročnih rješenja u obla</w:t>
      </w:r>
      <w:r w:rsidR="00783617">
        <w:rPr>
          <w:lang w:val="en-US"/>
        </w:rPr>
        <w:t xml:space="preserve">sti zbrinjavanja čvrstog otpada, ali i projekte zaštite od elementarnih nepogoda. </w:t>
      </w:r>
    </w:p>
    <w:p w14:paraId="3560214C" w14:textId="1E946EE8" w:rsidR="004F4EE7" w:rsidRPr="000650B8" w:rsidRDefault="004F4EE7" w:rsidP="004F4EE7">
      <w:pPr>
        <w:pStyle w:val="Heading3"/>
        <w:rPr>
          <w:lang w:val="bs-Latn-BA"/>
        </w:rPr>
      </w:pPr>
      <w:bookmarkStart w:id="50" w:name="_Toc488761252"/>
      <w:bookmarkStart w:id="51" w:name="_Toc496413392"/>
      <w:r w:rsidRPr="000650B8">
        <w:rPr>
          <w:lang w:val="bs-Latn-BA"/>
        </w:rPr>
        <w:t>V.</w:t>
      </w:r>
      <w:r w:rsidR="00F67084">
        <w:rPr>
          <w:lang w:val="bs-Latn-BA"/>
        </w:rPr>
        <w:t>4</w:t>
      </w:r>
      <w:r w:rsidRPr="000650B8">
        <w:rPr>
          <w:lang w:val="bs-Latn-BA"/>
        </w:rPr>
        <w:t>.</w:t>
      </w:r>
      <w:r>
        <w:rPr>
          <w:lang w:val="bs-Latn-BA"/>
        </w:rPr>
        <w:t>4</w:t>
      </w:r>
      <w:r w:rsidRPr="000650B8">
        <w:rPr>
          <w:lang w:val="bs-Latn-BA"/>
        </w:rPr>
        <w:t>.</w:t>
      </w:r>
      <w:r w:rsidRPr="000650B8">
        <w:rPr>
          <w:lang w:val="bs-Latn-BA"/>
        </w:rPr>
        <w:tab/>
        <w:t>Programi, projekti i mjere</w:t>
      </w:r>
      <w:bookmarkEnd w:id="50"/>
      <w:bookmarkEnd w:id="51"/>
    </w:p>
    <w:p w14:paraId="09197EC0" w14:textId="69D4650A" w:rsidR="004F4EE7" w:rsidRPr="009E5D55" w:rsidRDefault="004F4EE7" w:rsidP="009E5D55">
      <w:pPr>
        <w:spacing w:after="100"/>
        <w:jc w:val="both"/>
      </w:pPr>
      <w:r w:rsidRPr="005A2BE2">
        <w:t xml:space="preserve">Za realizaciju plana </w:t>
      </w:r>
      <w:r w:rsidR="00D74D83">
        <w:t>zaštite životne sredine</w:t>
      </w:r>
      <w:r w:rsidRPr="005A2BE2">
        <w:t xml:space="preserve"> opštine </w:t>
      </w:r>
      <w:r w:rsidR="00D74D83">
        <w:t>Prnjavor</w:t>
      </w:r>
      <w:r w:rsidRPr="005A2BE2">
        <w:t xml:space="preserve"> definisano je </w:t>
      </w:r>
      <w:r w:rsidR="00E25ACB">
        <w:t>9</w:t>
      </w:r>
      <w:r w:rsidRPr="005A2BE2">
        <w:t xml:space="preserve"> projekata i mjera grupisanih u </w:t>
      </w:r>
      <w:r w:rsidR="009E5D55">
        <w:t>3 programa: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2"/>
        <w:gridCol w:w="4398"/>
      </w:tblGrid>
      <w:tr w:rsidR="004F4EE7" w:rsidRPr="009E5D55" w14:paraId="5BE6B449" w14:textId="77777777" w:rsidTr="000B6E58">
        <w:tc>
          <w:tcPr>
            <w:tcW w:w="2648" w:type="pct"/>
            <w:shd w:val="clear" w:color="auto" w:fill="auto"/>
            <w:vAlign w:val="center"/>
          </w:tcPr>
          <w:p w14:paraId="32203EA1" w14:textId="77777777" w:rsidR="004F4EE7" w:rsidRPr="009E5D55" w:rsidRDefault="004F4EE7" w:rsidP="000B6E58">
            <w:pPr>
              <w:pStyle w:val="ListParagraph"/>
              <w:spacing w:before="0" w:line="240" w:lineRule="auto"/>
              <w:ind w:left="0"/>
              <w:contextualSpacing w:val="0"/>
              <w:jc w:val="center"/>
              <w:rPr>
                <w:rFonts w:asciiTheme="minorHAnsi" w:hAnsiTheme="minorHAnsi" w:cstheme="minorHAnsi"/>
                <w:b/>
                <w:lang w:val="bs-Latn-BA"/>
              </w:rPr>
            </w:pPr>
            <w:r w:rsidRPr="009E5D55">
              <w:rPr>
                <w:rFonts w:asciiTheme="minorHAnsi" w:hAnsiTheme="minorHAnsi" w:cstheme="minorHAnsi"/>
                <w:b/>
                <w:lang w:val="bs-Latn-BA"/>
              </w:rPr>
              <w:t>PROGRAM</w:t>
            </w:r>
          </w:p>
        </w:tc>
        <w:tc>
          <w:tcPr>
            <w:tcW w:w="2352" w:type="pct"/>
            <w:shd w:val="clear" w:color="auto" w:fill="auto"/>
            <w:vAlign w:val="center"/>
          </w:tcPr>
          <w:p w14:paraId="1A0F66C8" w14:textId="77777777" w:rsidR="004F4EE7" w:rsidRPr="009E5D55" w:rsidRDefault="004F4EE7" w:rsidP="000B6E58">
            <w:pPr>
              <w:pStyle w:val="ListParagraph"/>
              <w:spacing w:before="0" w:line="240" w:lineRule="auto"/>
              <w:ind w:left="0"/>
              <w:contextualSpacing w:val="0"/>
              <w:jc w:val="center"/>
              <w:rPr>
                <w:rFonts w:asciiTheme="minorHAnsi" w:hAnsiTheme="minorHAnsi" w:cstheme="minorHAnsi"/>
                <w:b/>
                <w:lang w:val="bs-Latn-BA"/>
              </w:rPr>
            </w:pPr>
            <w:r w:rsidRPr="009E5D55">
              <w:rPr>
                <w:rFonts w:asciiTheme="minorHAnsi" w:hAnsiTheme="minorHAnsi" w:cstheme="minorHAnsi"/>
                <w:b/>
                <w:lang w:val="bs-Latn-BA"/>
              </w:rPr>
              <w:t>MJERA/PROJEKAT</w:t>
            </w:r>
          </w:p>
        </w:tc>
      </w:tr>
      <w:tr w:rsidR="00350813" w:rsidRPr="009E5D55" w14:paraId="63DEFE72" w14:textId="77777777" w:rsidTr="00350813">
        <w:trPr>
          <w:trHeight w:val="816"/>
        </w:trPr>
        <w:tc>
          <w:tcPr>
            <w:tcW w:w="2648" w:type="pct"/>
            <w:vMerge w:val="restart"/>
            <w:shd w:val="clear" w:color="auto" w:fill="auto"/>
            <w:vAlign w:val="center"/>
          </w:tcPr>
          <w:p w14:paraId="3C9F461D" w14:textId="3AAA5F78" w:rsidR="00350813" w:rsidRPr="009E5D55" w:rsidRDefault="00350813" w:rsidP="000B6E58">
            <w:pPr>
              <w:pStyle w:val="ListParagraph"/>
              <w:spacing w:before="0" w:line="240" w:lineRule="auto"/>
              <w:ind w:left="0"/>
              <w:contextualSpacing w:val="0"/>
              <w:rPr>
                <w:rFonts w:asciiTheme="minorHAnsi" w:hAnsiTheme="minorHAnsi" w:cstheme="minorHAnsi"/>
                <w:b/>
                <w:noProof/>
                <w:lang w:val="sr-Latn-BA"/>
              </w:rPr>
            </w:pPr>
            <w:r w:rsidRPr="009E5D55">
              <w:rPr>
                <w:rFonts w:asciiTheme="minorHAnsi" w:hAnsiTheme="minorHAnsi" w:cstheme="minorHAnsi"/>
                <w:b/>
                <w:noProof/>
                <w:lang w:val="sr-Cyrl-BA"/>
              </w:rPr>
              <w:t>3.1.1. Izgradnja kapaciteta za zbrinjavanje otpada</w:t>
            </w:r>
          </w:p>
        </w:tc>
        <w:tc>
          <w:tcPr>
            <w:tcW w:w="2352" w:type="pct"/>
            <w:shd w:val="clear" w:color="auto" w:fill="auto"/>
            <w:vAlign w:val="center"/>
          </w:tcPr>
          <w:p w14:paraId="45518819" w14:textId="00DDF954" w:rsidR="00350813" w:rsidRPr="009E5D55" w:rsidRDefault="00350813" w:rsidP="000B6E58">
            <w:pPr>
              <w:pStyle w:val="ListParagraph"/>
              <w:spacing w:before="0" w:line="240" w:lineRule="auto"/>
              <w:ind w:left="0"/>
              <w:rPr>
                <w:rFonts w:asciiTheme="minorHAnsi" w:hAnsiTheme="minorHAnsi" w:cstheme="minorHAnsi"/>
                <w:lang w:val="sr-Latn-BA"/>
              </w:rPr>
            </w:pPr>
            <w:r w:rsidRPr="009E5D55">
              <w:rPr>
                <w:rFonts w:asciiTheme="minorHAnsi" w:hAnsiTheme="minorHAnsi" w:cstheme="minorHAnsi"/>
              </w:rPr>
              <w:t>3.1.1.</w:t>
            </w:r>
            <w:r>
              <w:rPr>
                <w:rFonts w:asciiTheme="minorHAnsi" w:hAnsiTheme="minorHAnsi" w:cstheme="minorHAnsi"/>
              </w:rPr>
              <w:t>1</w:t>
            </w:r>
            <w:r w:rsidRPr="009E5D55">
              <w:rPr>
                <w:rFonts w:asciiTheme="minorHAnsi" w:hAnsiTheme="minorHAnsi" w:cstheme="minorHAnsi"/>
              </w:rPr>
              <w:t>. Izgradnja pretovarne stanice čvrstog otpada za opštinu Prnjavor</w:t>
            </w:r>
          </w:p>
        </w:tc>
      </w:tr>
      <w:tr w:rsidR="00783617" w:rsidRPr="009E5D55" w14:paraId="388F8416" w14:textId="77777777" w:rsidTr="000B6E58">
        <w:tc>
          <w:tcPr>
            <w:tcW w:w="2648" w:type="pct"/>
            <w:vMerge/>
            <w:shd w:val="clear" w:color="auto" w:fill="auto"/>
            <w:vAlign w:val="center"/>
          </w:tcPr>
          <w:p w14:paraId="3B874045" w14:textId="77777777" w:rsidR="00783617" w:rsidRPr="009E5D55" w:rsidRDefault="00783617" w:rsidP="000B6E58">
            <w:pPr>
              <w:pStyle w:val="ListParagraph"/>
              <w:spacing w:before="0" w:line="240" w:lineRule="auto"/>
              <w:ind w:left="0"/>
              <w:contextualSpacing w:val="0"/>
              <w:rPr>
                <w:rFonts w:asciiTheme="minorHAnsi" w:hAnsiTheme="minorHAnsi" w:cstheme="minorHAnsi"/>
                <w:b/>
                <w:noProof/>
                <w:lang w:val="sr-Latn-BA"/>
              </w:rPr>
            </w:pPr>
          </w:p>
        </w:tc>
        <w:tc>
          <w:tcPr>
            <w:tcW w:w="2352" w:type="pct"/>
            <w:shd w:val="clear" w:color="auto" w:fill="auto"/>
            <w:vAlign w:val="center"/>
          </w:tcPr>
          <w:p w14:paraId="4EB95F72" w14:textId="3D03B475" w:rsidR="00783617" w:rsidRPr="009E5D55" w:rsidRDefault="00783617" w:rsidP="000B6E58">
            <w:pPr>
              <w:pStyle w:val="ListParagraph"/>
              <w:spacing w:before="0" w:line="240" w:lineRule="auto"/>
              <w:ind w:left="0"/>
              <w:contextualSpacing w:val="0"/>
              <w:rPr>
                <w:rFonts w:asciiTheme="minorHAnsi" w:hAnsiTheme="minorHAnsi" w:cstheme="minorHAnsi"/>
                <w:lang w:val="sr-Latn-BA"/>
              </w:rPr>
            </w:pPr>
            <w:r w:rsidRPr="009E5D55">
              <w:rPr>
                <w:rFonts w:asciiTheme="minorHAnsi" w:hAnsiTheme="minorHAnsi" w:cstheme="minorHAnsi"/>
              </w:rPr>
              <w:t>3.1.1.</w:t>
            </w:r>
            <w:r w:rsidR="00350813">
              <w:rPr>
                <w:rFonts w:asciiTheme="minorHAnsi" w:hAnsiTheme="minorHAnsi" w:cstheme="minorHAnsi"/>
              </w:rPr>
              <w:t>2</w:t>
            </w:r>
            <w:r w:rsidRPr="009E5D55">
              <w:rPr>
                <w:rFonts w:asciiTheme="minorHAnsi" w:hAnsiTheme="minorHAnsi" w:cstheme="minorHAnsi"/>
              </w:rPr>
              <w:t xml:space="preserve">. </w:t>
            </w:r>
            <w:r w:rsidRPr="009E5D55">
              <w:rPr>
                <w:rFonts w:asciiTheme="minorHAnsi" w:hAnsiTheme="minorHAnsi" w:cstheme="minorHAnsi"/>
                <w:lang w:val="hr-HR"/>
              </w:rPr>
              <w:t>Formiranje centra za sakupljanje otpada pogodnog za reciklažu</w:t>
            </w:r>
          </w:p>
        </w:tc>
      </w:tr>
      <w:tr w:rsidR="00783617" w:rsidRPr="009E5D55" w14:paraId="7E215F29" w14:textId="77777777" w:rsidTr="000B6E58">
        <w:tc>
          <w:tcPr>
            <w:tcW w:w="2648" w:type="pct"/>
            <w:vMerge/>
            <w:shd w:val="clear" w:color="auto" w:fill="auto"/>
            <w:vAlign w:val="center"/>
          </w:tcPr>
          <w:p w14:paraId="6A1345CF" w14:textId="77777777" w:rsidR="00783617" w:rsidRPr="009E5D55" w:rsidRDefault="00783617" w:rsidP="000B6E58">
            <w:pPr>
              <w:pStyle w:val="ListParagraph"/>
              <w:spacing w:before="0" w:line="240" w:lineRule="auto"/>
              <w:ind w:left="0"/>
              <w:contextualSpacing w:val="0"/>
              <w:rPr>
                <w:rFonts w:asciiTheme="minorHAnsi" w:hAnsiTheme="minorHAnsi" w:cstheme="minorHAnsi"/>
                <w:b/>
                <w:noProof/>
                <w:lang w:val="sr-Latn-BA"/>
              </w:rPr>
            </w:pPr>
          </w:p>
        </w:tc>
        <w:tc>
          <w:tcPr>
            <w:tcW w:w="2352" w:type="pct"/>
            <w:shd w:val="clear" w:color="auto" w:fill="auto"/>
            <w:vAlign w:val="center"/>
          </w:tcPr>
          <w:p w14:paraId="006A03D3" w14:textId="5366A49E" w:rsidR="00783617" w:rsidRPr="009E5D55" w:rsidRDefault="00783617" w:rsidP="000B6E58">
            <w:pPr>
              <w:pStyle w:val="ListParagraph"/>
              <w:spacing w:before="0" w:line="240" w:lineRule="auto"/>
              <w:ind w:left="0"/>
              <w:contextualSpacing w:val="0"/>
              <w:rPr>
                <w:rFonts w:asciiTheme="minorHAnsi" w:hAnsiTheme="minorHAnsi" w:cstheme="minorHAnsi"/>
              </w:rPr>
            </w:pPr>
            <w:r w:rsidRPr="009E5D55">
              <w:rPr>
                <w:rFonts w:asciiTheme="minorHAnsi" w:hAnsiTheme="minorHAnsi" w:cstheme="minorHAnsi"/>
              </w:rPr>
              <w:t>3.1.1.</w:t>
            </w:r>
            <w:r w:rsidR="00350813">
              <w:rPr>
                <w:rFonts w:asciiTheme="minorHAnsi" w:hAnsiTheme="minorHAnsi" w:cstheme="minorHAnsi"/>
              </w:rPr>
              <w:t>3</w:t>
            </w:r>
            <w:r w:rsidRPr="009E5D55">
              <w:rPr>
                <w:rFonts w:asciiTheme="minorHAnsi" w:hAnsiTheme="minorHAnsi" w:cstheme="minorHAnsi"/>
              </w:rPr>
              <w:t xml:space="preserve">. </w:t>
            </w:r>
            <w:r w:rsidRPr="009E5D55">
              <w:rPr>
                <w:rFonts w:asciiTheme="minorHAnsi" w:hAnsiTheme="minorHAnsi" w:cstheme="minorHAnsi"/>
                <w:highlight w:val="cyan"/>
              </w:rPr>
              <w:t>Azil za životinje</w:t>
            </w:r>
          </w:p>
        </w:tc>
      </w:tr>
      <w:tr w:rsidR="00783617" w:rsidRPr="009E5D55" w14:paraId="07468D63" w14:textId="77777777" w:rsidTr="000B6E58">
        <w:tc>
          <w:tcPr>
            <w:tcW w:w="2648" w:type="pct"/>
            <w:vMerge/>
            <w:shd w:val="clear" w:color="auto" w:fill="auto"/>
            <w:vAlign w:val="center"/>
          </w:tcPr>
          <w:p w14:paraId="70B8FA1A" w14:textId="77777777" w:rsidR="00783617" w:rsidRPr="009E5D55" w:rsidRDefault="00783617" w:rsidP="000B6E58">
            <w:pPr>
              <w:pStyle w:val="ListParagraph"/>
              <w:spacing w:before="0" w:line="240" w:lineRule="auto"/>
              <w:ind w:left="0"/>
              <w:contextualSpacing w:val="0"/>
              <w:rPr>
                <w:rFonts w:asciiTheme="minorHAnsi" w:hAnsiTheme="minorHAnsi" w:cstheme="minorHAnsi"/>
                <w:b/>
                <w:noProof/>
                <w:lang w:val="sr-Latn-BA"/>
              </w:rPr>
            </w:pPr>
          </w:p>
        </w:tc>
        <w:tc>
          <w:tcPr>
            <w:tcW w:w="2352" w:type="pct"/>
            <w:shd w:val="clear" w:color="auto" w:fill="auto"/>
            <w:vAlign w:val="center"/>
          </w:tcPr>
          <w:p w14:paraId="035FA4EB" w14:textId="1EDFBCC5" w:rsidR="00783617" w:rsidRPr="009E5D55" w:rsidRDefault="00783617" w:rsidP="000B6E58">
            <w:pPr>
              <w:pStyle w:val="ListParagraph"/>
              <w:spacing w:before="0" w:line="240" w:lineRule="auto"/>
              <w:ind w:left="0"/>
              <w:contextualSpacing w:val="0"/>
              <w:rPr>
                <w:rFonts w:asciiTheme="minorHAnsi" w:hAnsiTheme="minorHAnsi" w:cstheme="minorHAnsi"/>
              </w:rPr>
            </w:pPr>
            <w:r w:rsidRPr="00F44561">
              <w:rPr>
                <w:rFonts w:asciiTheme="minorHAnsi" w:hAnsiTheme="minorHAnsi" w:cstheme="minorHAnsi"/>
                <w:highlight w:val="cyan"/>
              </w:rPr>
              <w:t>3.1.1.</w:t>
            </w:r>
            <w:r w:rsidR="00350813">
              <w:rPr>
                <w:rFonts w:asciiTheme="minorHAnsi" w:hAnsiTheme="minorHAnsi" w:cstheme="minorHAnsi"/>
                <w:highlight w:val="cyan"/>
              </w:rPr>
              <w:t>4</w:t>
            </w:r>
            <w:r w:rsidRPr="00F44561">
              <w:rPr>
                <w:rFonts w:asciiTheme="minorHAnsi" w:hAnsiTheme="minorHAnsi" w:cstheme="minorHAnsi"/>
                <w:highlight w:val="cyan"/>
              </w:rPr>
              <w:t xml:space="preserve">. </w:t>
            </w:r>
            <w:r w:rsidR="00CA650A">
              <w:rPr>
                <w:rFonts w:asciiTheme="minorHAnsi" w:hAnsiTheme="minorHAnsi" w:cstheme="minorHAnsi"/>
                <w:highlight w:val="cyan"/>
              </w:rPr>
              <w:t>Uređenje i r</w:t>
            </w:r>
            <w:r w:rsidR="00F44561" w:rsidRPr="00F44561">
              <w:rPr>
                <w:rFonts w:asciiTheme="minorHAnsi" w:hAnsiTheme="minorHAnsi" w:cstheme="minorHAnsi"/>
                <w:highlight w:val="cyan"/>
              </w:rPr>
              <w:t>azvoj rekreativne zone „Ljubić“</w:t>
            </w:r>
            <w:r w:rsidR="00F44561">
              <w:rPr>
                <w:rFonts w:asciiTheme="minorHAnsi" w:hAnsiTheme="minorHAnsi" w:cstheme="minorHAnsi"/>
              </w:rPr>
              <w:t xml:space="preserve"> </w:t>
            </w:r>
          </w:p>
        </w:tc>
      </w:tr>
      <w:tr w:rsidR="00783617" w:rsidRPr="009E5D55" w14:paraId="0AE95652" w14:textId="77777777" w:rsidTr="000B6E58">
        <w:tc>
          <w:tcPr>
            <w:tcW w:w="2648" w:type="pct"/>
            <w:vMerge/>
            <w:shd w:val="clear" w:color="auto" w:fill="auto"/>
            <w:vAlign w:val="center"/>
          </w:tcPr>
          <w:p w14:paraId="3F9D2306" w14:textId="77777777" w:rsidR="00783617" w:rsidRPr="009E5D55" w:rsidRDefault="00783617" w:rsidP="000B6E58">
            <w:pPr>
              <w:pStyle w:val="ListParagraph"/>
              <w:spacing w:before="0" w:line="240" w:lineRule="auto"/>
              <w:ind w:left="0"/>
              <w:contextualSpacing w:val="0"/>
              <w:rPr>
                <w:rFonts w:asciiTheme="minorHAnsi" w:hAnsiTheme="minorHAnsi" w:cstheme="minorHAnsi"/>
                <w:b/>
                <w:noProof/>
                <w:lang w:val="sr-Latn-BA"/>
              </w:rPr>
            </w:pPr>
          </w:p>
        </w:tc>
        <w:tc>
          <w:tcPr>
            <w:tcW w:w="2352" w:type="pct"/>
            <w:shd w:val="clear" w:color="auto" w:fill="auto"/>
            <w:vAlign w:val="center"/>
          </w:tcPr>
          <w:p w14:paraId="0A557154" w14:textId="1EE1ADAF" w:rsidR="00783617" w:rsidRPr="009E5D55" w:rsidRDefault="00350813" w:rsidP="000B6E58">
            <w:pPr>
              <w:pStyle w:val="ListParagraph"/>
              <w:spacing w:before="0" w:line="240" w:lineRule="auto"/>
              <w:ind w:left="0"/>
              <w:contextualSpacing w:val="0"/>
              <w:rPr>
                <w:rFonts w:asciiTheme="minorHAnsi" w:hAnsiTheme="minorHAnsi" w:cstheme="minorHAnsi"/>
              </w:rPr>
            </w:pPr>
            <w:r>
              <w:rPr>
                <w:rFonts w:asciiTheme="minorHAnsi" w:hAnsiTheme="minorHAnsi" w:cstheme="minorHAnsi"/>
              </w:rPr>
              <w:t>3.1.1.5</w:t>
            </w:r>
            <w:r w:rsidR="00783617" w:rsidRPr="009E5D55">
              <w:rPr>
                <w:rFonts w:asciiTheme="minorHAnsi" w:hAnsiTheme="minorHAnsi" w:cstheme="minorHAnsi"/>
              </w:rPr>
              <w:t>. Izrada opštinskog plana upravljanja otpadom</w:t>
            </w:r>
          </w:p>
        </w:tc>
      </w:tr>
      <w:tr w:rsidR="004F4EE7" w:rsidRPr="009E5D55" w14:paraId="4AC2CF34" w14:textId="77777777" w:rsidTr="000B6E58">
        <w:tc>
          <w:tcPr>
            <w:tcW w:w="2648" w:type="pct"/>
            <w:vMerge w:val="restart"/>
            <w:shd w:val="clear" w:color="auto" w:fill="auto"/>
            <w:vAlign w:val="center"/>
          </w:tcPr>
          <w:p w14:paraId="74CB1A81" w14:textId="0A763AA5" w:rsidR="004F4EE7" w:rsidRPr="009E5D55" w:rsidRDefault="009E5D55" w:rsidP="000B6E58">
            <w:pPr>
              <w:pStyle w:val="ListParagraph"/>
              <w:spacing w:before="0" w:line="240" w:lineRule="auto"/>
              <w:ind w:left="0"/>
              <w:contextualSpacing w:val="0"/>
              <w:rPr>
                <w:rFonts w:asciiTheme="minorHAnsi" w:hAnsiTheme="minorHAnsi" w:cstheme="minorHAnsi"/>
                <w:b/>
                <w:noProof/>
                <w:lang w:val="sr-Latn-BA"/>
              </w:rPr>
            </w:pPr>
            <w:r w:rsidRPr="009E5D55">
              <w:rPr>
                <w:rFonts w:asciiTheme="minorHAnsi" w:hAnsiTheme="minorHAnsi" w:cstheme="minorHAnsi"/>
                <w:b/>
                <w:lang w:val="sr-Latn-BA"/>
              </w:rPr>
              <w:t>3</w:t>
            </w:r>
            <w:r w:rsidRPr="009E5D55">
              <w:rPr>
                <w:rFonts w:asciiTheme="minorHAnsi" w:hAnsiTheme="minorHAnsi" w:cstheme="minorHAnsi"/>
                <w:b/>
                <w:lang w:val="sr-Cyrl-BA"/>
              </w:rPr>
              <w:t xml:space="preserve">.2.1. </w:t>
            </w:r>
            <w:r w:rsidRPr="009E5D55">
              <w:rPr>
                <w:rFonts w:asciiTheme="minorHAnsi" w:hAnsiTheme="minorHAnsi" w:cstheme="minorHAnsi"/>
                <w:b/>
                <w:lang w:val="sr-Latn-BA"/>
              </w:rPr>
              <w:t xml:space="preserve">Poboljšanje energetske efikasnosti i promocija korištenja obnovljivih izvora energije </w:t>
            </w:r>
          </w:p>
        </w:tc>
        <w:tc>
          <w:tcPr>
            <w:tcW w:w="2352" w:type="pct"/>
            <w:shd w:val="clear" w:color="auto" w:fill="auto"/>
            <w:vAlign w:val="center"/>
          </w:tcPr>
          <w:p w14:paraId="2EC4B0E3" w14:textId="79FD38B2" w:rsidR="004F4EE7" w:rsidRPr="009E5D55" w:rsidRDefault="009E5D55" w:rsidP="000B6E58">
            <w:pPr>
              <w:pStyle w:val="ListParagraph"/>
              <w:spacing w:before="0" w:line="240" w:lineRule="auto"/>
              <w:ind w:left="0"/>
              <w:contextualSpacing w:val="0"/>
              <w:rPr>
                <w:rFonts w:asciiTheme="minorHAnsi" w:hAnsiTheme="minorHAnsi" w:cstheme="minorHAnsi"/>
                <w:lang w:val="sr-Latn-BA"/>
              </w:rPr>
            </w:pPr>
            <w:r w:rsidRPr="009E5D55">
              <w:rPr>
                <w:rFonts w:asciiTheme="minorHAnsi" w:hAnsiTheme="minorHAnsi" w:cstheme="minorHAnsi"/>
              </w:rPr>
              <w:t>3.2.1.1. Izrada opštinskog programa zaštite vazduha i izgradnja kapaciteta za praćenje kvaliteta vazduha</w:t>
            </w:r>
          </w:p>
        </w:tc>
      </w:tr>
      <w:tr w:rsidR="004F4EE7" w:rsidRPr="009E5D55" w14:paraId="5705F58E" w14:textId="77777777" w:rsidTr="000B6E58">
        <w:trPr>
          <w:trHeight w:val="751"/>
        </w:trPr>
        <w:tc>
          <w:tcPr>
            <w:tcW w:w="2648" w:type="pct"/>
            <w:vMerge/>
            <w:shd w:val="clear" w:color="auto" w:fill="auto"/>
            <w:vAlign w:val="center"/>
          </w:tcPr>
          <w:p w14:paraId="2E93D675" w14:textId="77777777" w:rsidR="004F4EE7" w:rsidRPr="009E5D55" w:rsidRDefault="004F4EE7" w:rsidP="000B6E58">
            <w:pPr>
              <w:pStyle w:val="ListParagraph"/>
              <w:spacing w:before="0" w:line="240" w:lineRule="auto"/>
              <w:ind w:left="0"/>
              <w:contextualSpacing w:val="0"/>
              <w:rPr>
                <w:rFonts w:asciiTheme="minorHAnsi" w:hAnsiTheme="minorHAnsi" w:cstheme="minorHAnsi"/>
                <w:b/>
                <w:noProof/>
                <w:lang w:val="sr-Latn-BA"/>
              </w:rPr>
            </w:pPr>
          </w:p>
        </w:tc>
        <w:tc>
          <w:tcPr>
            <w:tcW w:w="2352" w:type="pct"/>
            <w:shd w:val="clear" w:color="auto" w:fill="auto"/>
            <w:vAlign w:val="center"/>
          </w:tcPr>
          <w:p w14:paraId="789714CD" w14:textId="51D8E177" w:rsidR="004F4EE7" w:rsidRPr="009E5D55" w:rsidRDefault="009E5D55" w:rsidP="000B6E58">
            <w:pPr>
              <w:pStyle w:val="ListParagraph"/>
              <w:spacing w:before="0" w:line="240" w:lineRule="auto"/>
              <w:ind w:left="0"/>
              <w:contextualSpacing w:val="0"/>
              <w:rPr>
                <w:rFonts w:asciiTheme="minorHAnsi" w:hAnsiTheme="minorHAnsi" w:cstheme="minorHAnsi"/>
                <w:lang w:val="sr-Latn-BA"/>
              </w:rPr>
            </w:pPr>
            <w:r w:rsidRPr="009E5D55">
              <w:rPr>
                <w:rFonts w:asciiTheme="minorHAnsi" w:hAnsiTheme="minorHAnsi" w:cstheme="minorHAnsi"/>
              </w:rPr>
              <w:t xml:space="preserve">3.2.1.2. </w:t>
            </w:r>
            <w:r w:rsidR="00F44561" w:rsidRPr="00F44561">
              <w:rPr>
                <w:rFonts w:asciiTheme="minorHAnsi" w:hAnsiTheme="minorHAnsi" w:cstheme="minorHAnsi"/>
                <w:highlight w:val="cyan"/>
                <w:lang w:val="sr-Latn-BA"/>
              </w:rPr>
              <w:t xml:space="preserve">Energetska efikasnost </w:t>
            </w:r>
            <w:r w:rsidRPr="00F44561">
              <w:rPr>
                <w:rFonts w:asciiTheme="minorHAnsi" w:hAnsiTheme="minorHAnsi" w:cstheme="minorHAnsi"/>
                <w:highlight w:val="cyan"/>
                <w:lang w:val="sr-Latn-BA"/>
              </w:rPr>
              <w:t>javnih objekata</w:t>
            </w:r>
          </w:p>
        </w:tc>
      </w:tr>
      <w:tr w:rsidR="004F4EE7" w:rsidRPr="009E5D55" w14:paraId="5BF78FB7" w14:textId="77777777" w:rsidTr="000B6E58">
        <w:tc>
          <w:tcPr>
            <w:tcW w:w="2648" w:type="pct"/>
            <w:vMerge w:val="restart"/>
            <w:shd w:val="clear" w:color="auto" w:fill="auto"/>
            <w:vAlign w:val="center"/>
          </w:tcPr>
          <w:p w14:paraId="1AAA36CF" w14:textId="397D16E7" w:rsidR="004F4EE7" w:rsidRPr="009E5D55" w:rsidRDefault="009E5D55" w:rsidP="000B6E58">
            <w:pPr>
              <w:pStyle w:val="ListParagraph"/>
              <w:spacing w:before="0" w:line="240" w:lineRule="auto"/>
              <w:ind w:left="0"/>
              <w:contextualSpacing w:val="0"/>
              <w:rPr>
                <w:rFonts w:asciiTheme="minorHAnsi" w:hAnsiTheme="minorHAnsi" w:cstheme="minorHAnsi"/>
                <w:b/>
                <w:noProof/>
                <w:lang w:val="sr-Latn-BA"/>
              </w:rPr>
            </w:pPr>
            <w:r w:rsidRPr="009E5D55">
              <w:rPr>
                <w:rFonts w:asciiTheme="minorHAnsi" w:hAnsiTheme="minorHAnsi" w:cstheme="minorHAnsi"/>
                <w:b/>
                <w:lang w:val="sr-Cyrl-BA"/>
              </w:rPr>
              <w:t>3.</w:t>
            </w:r>
            <w:r w:rsidRPr="009E5D55">
              <w:rPr>
                <w:rFonts w:asciiTheme="minorHAnsi" w:hAnsiTheme="minorHAnsi" w:cstheme="minorHAnsi"/>
                <w:b/>
                <w:lang w:val="sr-Latn-BA"/>
              </w:rPr>
              <w:t>3</w:t>
            </w:r>
            <w:r w:rsidRPr="009E5D55">
              <w:rPr>
                <w:rFonts w:asciiTheme="minorHAnsi" w:hAnsiTheme="minorHAnsi" w:cstheme="minorHAnsi"/>
                <w:b/>
                <w:lang w:val="sr-Cyrl-BA"/>
              </w:rPr>
              <w:t xml:space="preserve">.1. </w:t>
            </w:r>
            <w:r w:rsidRPr="009E5D55">
              <w:rPr>
                <w:rFonts w:asciiTheme="minorHAnsi" w:hAnsiTheme="minorHAnsi" w:cstheme="minorHAnsi"/>
                <w:b/>
                <w:lang w:val="sr-Latn-BA"/>
              </w:rPr>
              <w:t xml:space="preserve">Unapređenje sistema zaštite od elementarnih nepogoda </w:t>
            </w:r>
          </w:p>
        </w:tc>
        <w:tc>
          <w:tcPr>
            <w:tcW w:w="2352" w:type="pct"/>
            <w:shd w:val="clear" w:color="auto" w:fill="auto"/>
            <w:vAlign w:val="center"/>
          </w:tcPr>
          <w:p w14:paraId="0F055E19" w14:textId="577A19EF" w:rsidR="004F4EE7" w:rsidRPr="009E5D55" w:rsidRDefault="009E5D55" w:rsidP="000B6E58">
            <w:pPr>
              <w:pStyle w:val="ListParagraph"/>
              <w:spacing w:before="0" w:line="240" w:lineRule="auto"/>
              <w:ind w:left="0"/>
              <w:contextualSpacing w:val="0"/>
              <w:rPr>
                <w:rFonts w:asciiTheme="minorHAnsi" w:hAnsiTheme="minorHAnsi" w:cstheme="minorHAnsi"/>
                <w:lang w:val="sr-Latn-BA"/>
              </w:rPr>
            </w:pPr>
            <w:r w:rsidRPr="009E5D55">
              <w:rPr>
                <w:rFonts w:asciiTheme="minorHAnsi" w:hAnsiTheme="minorHAnsi" w:cstheme="minorHAnsi"/>
              </w:rPr>
              <w:t>3.3.1.1. Uređenje sliva rijeke Ukrine u cilju zaštite od poplava</w:t>
            </w:r>
          </w:p>
        </w:tc>
      </w:tr>
      <w:tr w:rsidR="00350813" w:rsidRPr="009E5D55" w14:paraId="62EDCFC0" w14:textId="77777777" w:rsidTr="00610759">
        <w:trPr>
          <w:trHeight w:val="863"/>
        </w:trPr>
        <w:tc>
          <w:tcPr>
            <w:tcW w:w="2648" w:type="pct"/>
            <w:vMerge/>
            <w:shd w:val="clear" w:color="auto" w:fill="auto"/>
            <w:vAlign w:val="center"/>
          </w:tcPr>
          <w:p w14:paraId="0B015D9D" w14:textId="77777777" w:rsidR="00350813" w:rsidRPr="009E5D55" w:rsidRDefault="00350813" w:rsidP="000B6E58">
            <w:pPr>
              <w:pStyle w:val="ListParagraph"/>
              <w:spacing w:before="0" w:line="240" w:lineRule="auto"/>
              <w:ind w:left="0"/>
              <w:contextualSpacing w:val="0"/>
              <w:rPr>
                <w:rFonts w:asciiTheme="minorHAnsi" w:hAnsiTheme="minorHAnsi" w:cstheme="minorHAnsi"/>
                <w:b/>
                <w:lang w:val="sr-Cyrl-BA"/>
              </w:rPr>
            </w:pPr>
          </w:p>
        </w:tc>
        <w:tc>
          <w:tcPr>
            <w:tcW w:w="2352" w:type="pct"/>
            <w:shd w:val="clear" w:color="auto" w:fill="auto"/>
            <w:vAlign w:val="center"/>
          </w:tcPr>
          <w:p w14:paraId="4E7112DF" w14:textId="61B5D01E" w:rsidR="00350813" w:rsidRPr="009E5D55" w:rsidRDefault="00942FE5" w:rsidP="000B6E58">
            <w:pPr>
              <w:pStyle w:val="ListParagraph"/>
              <w:spacing w:before="0" w:line="240" w:lineRule="auto"/>
              <w:ind w:left="0"/>
              <w:contextualSpacing w:val="0"/>
              <w:rPr>
                <w:rFonts w:asciiTheme="minorHAnsi" w:hAnsiTheme="minorHAnsi" w:cstheme="minorHAnsi"/>
              </w:rPr>
            </w:pPr>
            <w:r w:rsidRPr="00942FE5">
              <w:rPr>
                <w:rFonts w:asciiTheme="minorHAnsi" w:hAnsiTheme="minorHAnsi" w:cstheme="minorHAnsi"/>
                <w:highlight w:val="cyan"/>
              </w:rPr>
              <w:t>3.3.1.2. Izrada Programa sanitarne zaštite vode za piće i ljudsku upotrebu za izvorište Povelič (2018)</w:t>
            </w:r>
            <w:r w:rsidR="00CE0A32">
              <w:rPr>
                <w:rFonts w:asciiTheme="minorHAnsi" w:hAnsiTheme="minorHAnsi" w:cstheme="minorHAnsi"/>
              </w:rPr>
              <w:t xml:space="preserve"> </w:t>
            </w:r>
          </w:p>
        </w:tc>
      </w:tr>
    </w:tbl>
    <w:p w14:paraId="7A638C17" w14:textId="70A65DC8" w:rsidR="004F4EE7" w:rsidRDefault="004F4EE7" w:rsidP="004F4EE7">
      <w:pPr>
        <w:sectPr w:rsidR="004F4EE7" w:rsidSect="004E588E">
          <w:footerReference w:type="default" r:id="rId29"/>
          <w:pgSz w:w="12240" w:h="15840"/>
          <w:pgMar w:top="1440" w:right="1440" w:bottom="1440" w:left="1440" w:header="720" w:footer="720" w:gutter="0"/>
          <w:cols w:space="720"/>
          <w:docGrid w:linePitch="360"/>
        </w:sectPr>
      </w:pPr>
      <w:r w:rsidRPr="005A2BE2">
        <w:t xml:space="preserve">Ukupna očekivana ulaganja za realizaciju sektorskog plana životne sredine su: </w:t>
      </w:r>
      <w:r w:rsidR="00E35E98" w:rsidRPr="009E5D55">
        <w:rPr>
          <w:highlight w:val="yellow"/>
        </w:rPr>
        <w:t>X</w:t>
      </w:r>
      <w:r w:rsidRPr="009E5D55">
        <w:rPr>
          <w:highlight w:val="yellow"/>
        </w:rPr>
        <w:t xml:space="preserve"> KM</w:t>
      </w:r>
      <w:r>
        <w:t>.</w:t>
      </w:r>
    </w:p>
    <w:p w14:paraId="04A76893" w14:textId="77777777" w:rsidR="004F4EE7" w:rsidRPr="00D33DD0" w:rsidRDefault="004F4EE7" w:rsidP="00F67084">
      <w:pPr>
        <w:pStyle w:val="Heading1"/>
        <w:rPr>
          <w:lang w:val="bs-Latn-BA"/>
        </w:rPr>
      </w:pPr>
      <w:bookmarkStart w:id="52" w:name="_Toc488761253"/>
      <w:bookmarkStart w:id="53" w:name="_Toc496413393"/>
      <w:r w:rsidRPr="00D33DD0">
        <w:rPr>
          <w:lang w:val="bs-Latn-BA"/>
        </w:rPr>
        <w:lastRenderedPageBreak/>
        <w:t>VI. Operativni dio</w:t>
      </w:r>
      <w:bookmarkEnd w:id="52"/>
      <w:bookmarkEnd w:id="53"/>
    </w:p>
    <w:p w14:paraId="256391F1" w14:textId="77777777" w:rsidR="004F4EE7" w:rsidRPr="000650B8" w:rsidRDefault="004F4EE7" w:rsidP="004F4EE7">
      <w:pPr>
        <w:rPr>
          <w:rFonts w:ascii="Myriad Pro" w:hAnsi="Myriad Pro"/>
          <w:b/>
          <w:bCs/>
          <w:lang w:val="bs-Latn-BA"/>
        </w:rPr>
      </w:pPr>
    </w:p>
    <w:p w14:paraId="77E2896A" w14:textId="77777777" w:rsidR="004F4EE7" w:rsidRDefault="004F4EE7" w:rsidP="004F4EE7">
      <w:pPr>
        <w:pStyle w:val="Heading2"/>
      </w:pPr>
      <w:bookmarkStart w:id="54" w:name="_Toc488761254"/>
      <w:bookmarkStart w:id="55" w:name="_Toc496413394"/>
      <w:r>
        <w:t>VI.1.</w:t>
      </w:r>
      <w:r w:rsidRPr="00FD3263">
        <w:t xml:space="preserve"> </w:t>
      </w:r>
      <w:r w:rsidRPr="00026FD3">
        <w:t>Plan implementacije strateških projekata i mjera za 3 godine (1+2)</w:t>
      </w:r>
      <w:bookmarkEnd w:id="54"/>
      <w:bookmarkEnd w:id="55"/>
    </w:p>
    <w:p w14:paraId="48BE908F" w14:textId="77777777" w:rsidR="004F4EE7" w:rsidRDefault="004F4EE7" w:rsidP="004F4EE7">
      <w:pPr>
        <w:rPr>
          <w:lang w:val="bs-Latn-BA"/>
        </w:rPr>
      </w:pPr>
    </w:p>
    <w:tbl>
      <w:tblPr>
        <w:tblW w:w="48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1588"/>
        <w:gridCol w:w="2125"/>
        <w:gridCol w:w="1276"/>
        <w:gridCol w:w="708"/>
        <w:gridCol w:w="710"/>
        <w:gridCol w:w="710"/>
        <w:gridCol w:w="710"/>
        <w:gridCol w:w="568"/>
        <w:gridCol w:w="426"/>
        <w:gridCol w:w="424"/>
        <w:gridCol w:w="573"/>
        <w:gridCol w:w="568"/>
        <w:gridCol w:w="839"/>
        <w:gridCol w:w="921"/>
      </w:tblGrid>
      <w:tr w:rsidR="00D23213" w:rsidRPr="00D23213" w14:paraId="50D5008A" w14:textId="77777777" w:rsidTr="000B6E58">
        <w:trPr>
          <w:trHeight w:val="647"/>
        </w:trPr>
        <w:tc>
          <w:tcPr>
            <w:tcW w:w="211" w:type="pct"/>
            <w:vMerge w:val="restart"/>
            <w:shd w:val="clear" w:color="auto" w:fill="95B3D7"/>
            <w:textDirection w:val="btLr"/>
          </w:tcPr>
          <w:p w14:paraId="51BC8AE6" w14:textId="77777777" w:rsidR="004F4EE7" w:rsidRPr="00D23213" w:rsidRDefault="004F4EE7" w:rsidP="008A4A03">
            <w:pPr>
              <w:ind w:left="113" w:right="113"/>
              <w:jc w:val="center"/>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Veza sa strateškim ciljem/ ciljevima</w:t>
            </w:r>
          </w:p>
        </w:tc>
        <w:tc>
          <w:tcPr>
            <w:tcW w:w="626" w:type="pct"/>
            <w:vMerge w:val="restart"/>
            <w:shd w:val="clear" w:color="auto" w:fill="95B3D7"/>
          </w:tcPr>
          <w:p w14:paraId="4929884C" w14:textId="77777777" w:rsidR="004F4EE7" w:rsidRPr="00D23213" w:rsidRDefault="004F4EE7" w:rsidP="008A4A03">
            <w:pPr>
              <w:jc w:val="center"/>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Projekat/mjera i  orjentacioni period realizacije</w:t>
            </w:r>
          </w:p>
        </w:tc>
        <w:tc>
          <w:tcPr>
            <w:tcW w:w="838" w:type="pct"/>
            <w:vMerge w:val="restart"/>
            <w:shd w:val="clear" w:color="auto" w:fill="95B3D7"/>
          </w:tcPr>
          <w:p w14:paraId="595EB748" w14:textId="77777777" w:rsidR="004F4EE7" w:rsidRPr="00D23213" w:rsidRDefault="004F4EE7" w:rsidP="008A4A03">
            <w:pPr>
              <w:jc w:val="center"/>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Ukupni ishodi</w:t>
            </w:r>
          </w:p>
        </w:tc>
        <w:tc>
          <w:tcPr>
            <w:tcW w:w="503" w:type="pct"/>
            <w:vMerge w:val="restart"/>
            <w:shd w:val="clear" w:color="auto" w:fill="95B3D7"/>
          </w:tcPr>
          <w:p w14:paraId="21AA1FAC" w14:textId="77777777" w:rsidR="004F4EE7" w:rsidRPr="00D23213" w:rsidRDefault="004F4EE7" w:rsidP="008A4A03">
            <w:pPr>
              <w:jc w:val="center"/>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Ukupni orijent. izdaci (do završetka projekta)</w:t>
            </w:r>
          </w:p>
        </w:tc>
        <w:tc>
          <w:tcPr>
            <w:tcW w:w="1119" w:type="pct"/>
            <w:gridSpan w:val="4"/>
            <w:tcBorders>
              <w:bottom w:val="single" w:sz="4" w:space="0" w:color="auto"/>
            </w:tcBorders>
            <w:shd w:val="clear" w:color="auto" w:fill="95B3D7"/>
          </w:tcPr>
          <w:p w14:paraId="168DCD26" w14:textId="77777777" w:rsidR="004F4EE7" w:rsidRPr="00D23213" w:rsidRDefault="004F4EE7" w:rsidP="008A4A03">
            <w:pPr>
              <w:jc w:val="center"/>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Finansiranje iz opštinskog budžeta</w:t>
            </w:r>
          </w:p>
        </w:tc>
        <w:tc>
          <w:tcPr>
            <w:tcW w:w="785" w:type="pct"/>
            <w:gridSpan w:val="4"/>
            <w:tcBorders>
              <w:bottom w:val="single" w:sz="4" w:space="0" w:color="auto"/>
            </w:tcBorders>
            <w:shd w:val="clear" w:color="auto" w:fill="95B3D7"/>
          </w:tcPr>
          <w:p w14:paraId="5903DF1A" w14:textId="77777777" w:rsidR="004F4EE7" w:rsidRPr="00D23213" w:rsidRDefault="004F4EE7" w:rsidP="008A4A03">
            <w:pPr>
              <w:jc w:val="center"/>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Finansiranje iz ostalih izvora</w:t>
            </w:r>
          </w:p>
        </w:tc>
        <w:tc>
          <w:tcPr>
            <w:tcW w:w="224" w:type="pct"/>
            <w:vMerge w:val="restart"/>
            <w:shd w:val="clear" w:color="auto" w:fill="95B3D7"/>
            <w:textDirection w:val="tbRl"/>
          </w:tcPr>
          <w:p w14:paraId="0492E069" w14:textId="77777777" w:rsidR="004F4EE7" w:rsidRPr="00D23213" w:rsidRDefault="004F4EE7" w:rsidP="008A4A03">
            <w:pPr>
              <w:ind w:left="115" w:right="115"/>
              <w:jc w:val="right"/>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Nosioci  implementacije</w:t>
            </w:r>
          </w:p>
        </w:tc>
        <w:tc>
          <w:tcPr>
            <w:tcW w:w="331" w:type="pct"/>
            <w:vMerge w:val="restart"/>
            <w:shd w:val="clear" w:color="auto" w:fill="95B3D7"/>
            <w:textDirection w:val="tbRl"/>
          </w:tcPr>
          <w:p w14:paraId="11B7C835" w14:textId="77777777" w:rsidR="004F4EE7" w:rsidRPr="00D23213" w:rsidRDefault="004F4EE7" w:rsidP="008A4A03">
            <w:pPr>
              <w:ind w:left="115" w:right="115"/>
              <w:jc w:val="right"/>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Veza sa budžetom i/ili oznaka ekst. izvora finansiranja</w:t>
            </w:r>
          </w:p>
        </w:tc>
        <w:tc>
          <w:tcPr>
            <w:tcW w:w="363" w:type="pct"/>
            <w:vMerge w:val="restart"/>
            <w:shd w:val="clear" w:color="auto" w:fill="95B3D7"/>
            <w:textDirection w:val="tbRl"/>
          </w:tcPr>
          <w:p w14:paraId="5288453C" w14:textId="77777777" w:rsidR="004F4EE7" w:rsidRPr="00D23213" w:rsidRDefault="004F4EE7" w:rsidP="008A4A03">
            <w:pPr>
              <w:ind w:left="115" w:right="115"/>
              <w:jc w:val="right"/>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Opštinska služba odgovorna za praćenje</w:t>
            </w:r>
          </w:p>
        </w:tc>
      </w:tr>
      <w:tr w:rsidR="00D23213" w:rsidRPr="00D23213" w14:paraId="35212B0C" w14:textId="77777777" w:rsidTr="000B6E58">
        <w:trPr>
          <w:cantSplit/>
          <w:trHeight w:val="1358"/>
        </w:trPr>
        <w:tc>
          <w:tcPr>
            <w:tcW w:w="211" w:type="pct"/>
            <w:vMerge/>
            <w:shd w:val="clear" w:color="auto" w:fill="95B3D7"/>
          </w:tcPr>
          <w:p w14:paraId="16827DA2" w14:textId="77777777" w:rsidR="004F4EE7" w:rsidRPr="00D23213" w:rsidRDefault="004F4EE7" w:rsidP="008A4A03">
            <w:pPr>
              <w:jc w:val="center"/>
              <w:rPr>
                <w:rFonts w:asciiTheme="minorHAnsi" w:hAnsiTheme="minorHAnsi" w:cstheme="minorHAnsi"/>
                <w:b/>
                <w:bCs/>
                <w:sz w:val="16"/>
                <w:szCs w:val="16"/>
                <w:lang w:val="bs-Latn-BA"/>
              </w:rPr>
            </w:pPr>
          </w:p>
        </w:tc>
        <w:tc>
          <w:tcPr>
            <w:tcW w:w="626" w:type="pct"/>
            <w:vMerge/>
            <w:shd w:val="clear" w:color="auto" w:fill="95B3D7"/>
          </w:tcPr>
          <w:p w14:paraId="271A7EFA" w14:textId="77777777" w:rsidR="004F4EE7" w:rsidRPr="00D23213" w:rsidRDefault="004F4EE7" w:rsidP="008A4A03">
            <w:pPr>
              <w:rPr>
                <w:rFonts w:asciiTheme="minorHAnsi" w:hAnsiTheme="minorHAnsi" w:cstheme="minorHAnsi"/>
                <w:b/>
                <w:bCs/>
                <w:sz w:val="16"/>
                <w:szCs w:val="16"/>
                <w:lang w:val="bs-Latn-BA"/>
              </w:rPr>
            </w:pPr>
          </w:p>
        </w:tc>
        <w:tc>
          <w:tcPr>
            <w:tcW w:w="838" w:type="pct"/>
            <w:vMerge/>
            <w:shd w:val="clear" w:color="auto" w:fill="95B3D7"/>
          </w:tcPr>
          <w:p w14:paraId="3E860F77" w14:textId="77777777" w:rsidR="004F4EE7" w:rsidRPr="00D23213" w:rsidRDefault="004F4EE7" w:rsidP="008A4A03">
            <w:pPr>
              <w:rPr>
                <w:rFonts w:asciiTheme="minorHAnsi" w:hAnsiTheme="minorHAnsi" w:cstheme="minorHAnsi"/>
                <w:b/>
                <w:bCs/>
                <w:sz w:val="16"/>
                <w:szCs w:val="16"/>
                <w:lang w:val="bs-Latn-BA"/>
              </w:rPr>
            </w:pPr>
          </w:p>
        </w:tc>
        <w:tc>
          <w:tcPr>
            <w:tcW w:w="503" w:type="pct"/>
            <w:vMerge/>
            <w:shd w:val="clear" w:color="auto" w:fill="95B3D7"/>
          </w:tcPr>
          <w:p w14:paraId="380C2F7C" w14:textId="77777777" w:rsidR="004F4EE7" w:rsidRPr="00D23213" w:rsidRDefault="004F4EE7" w:rsidP="008A4A03">
            <w:pPr>
              <w:jc w:val="right"/>
              <w:rPr>
                <w:rFonts w:asciiTheme="minorHAnsi" w:hAnsiTheme="minorHAnsi" w:cstheme="minorHAnsi"/>
                <w:b/>
                <w:bCs/>
                <w:sz w:val="16"/>
                <w:szCs w:val="16"/>
                <w:lang w:val="bs-Latn-BA"/>
              </w:rPr>
            </w:pPr>
          </w:p>
        </w:tc>
        <w:tc>
          <w:tcPr>
            <w:tcW w:w="279" w:type="pct"/>
            <w:tcBorders>
              <w:top w:val="single" w:sz="4" w:space="0" w:color="auto"/>
              <w:bottom w:val="single" w:sz="4" w:space="0" w:color="auto"/>
            </w:tcBorders>
            <w:shd w:val="clear" w:color="auto" w:fill="B8CCE4"/>
            <w:textDirection w:val="btLr"/>
          </w:tcPr>
          <w:p w14:paraId="46866710" w14:textId="77777777" w:rsidR="004F4EE7" w:rsidRPr="00D23213" w:rsidRDefault="004F4EE7" w:rsidP="008A4A03">
            <w:pPr>
              <w:ind w:left="113" w:right="113"/>
              <w:jc w:val="right"/>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god. I</w:t>
            </w:r>
          </w:p>
        </w:tc>
        <w:tc>
          <w:tcPr>
            <w:tcW w:w="280" w:type="pct"/>
            <w:tcBorders>
              <w:top w:val="single" w:sz="4" w:space="0" w:color="auto"/>
              <w:bottom w:val="single" w:sz="4" w:space="0" w:color="auto"/>
            </w:tcBorders>
            <w:shd w:val="clear" w:color="auto" w:fill="B8CCE4"/>
            <w:textDirection w:val="btLr"/>
          </w:tcPr>
          <w:p w14:paraId="2D2CA170" w14:textId="77777777" w:rsidR="004F4EE7" w:rsidRPr="00D23213" w:rsidRDefault="004F4EE7" w:rsidP="008A4A03">
            <w:pPr>
              <w:ind w:left="113" w:right="113"/>
              <w:jc w:val="right"/>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god. II</w:t>
            </w:r>
          </w:p>
          <w:p w14:paraId="243A0A40" w14:textId="77777777" w:rsidR="004F4EE7" w:rsidRPr="00D23213" w:rsidRDefault="004F4EE7" w:rsidP="008A4A03">
            <w:pPr>
              <w:ind w:left="113" w:right="113"/>
              <w:jc w:val="right"/>
              <w:rPr>
                <w:rFonts w:asciiTheme="minorHAnsi" w:hAnsiTheme="minorHAnsi" w:cstheme="minorHAnsi"/>
                <w:b/>
                <w:bCs/>
                <w:sz w:val="16"/>
                <w:szCs w:val="16"/>
                <w:lang w:val="bs-Latn-BA"/>
              </w:rPr>
            </w:pPr>
          </w:p>
        </w:tc>
        <w:tc>
          <w:tcPr>
            <w:tcW w:w="280" w:type="pct"/>
            <w:tcBorders>
              <w:top w:val="single" w:sz="4" w:space="0" w:color="auto"/>
              <w:bottom w:val="single" w:sz="4" w:space="0" w:color="auto"/>
            </w:tcBorders>
            <w:shd w:val="clear" w:color="auto" w:fill="B8CCE4"/>
            <w:textDirection w:val="btLr"/>
          </w:tcPr>
          <w:p w14:paraId="61A7F471" w14:textId="77777777" w:rsidR="004F4EE7" w:rsidRPr="00D23213" w:rsidRDefault="004F4EE7" w:rsidP="008A4A03">
            <w:pPr>
              <w:ind w:left="113" w:right="113"/>
              <w:jc w:val="right"/>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god. III</w:t>
            </w:r>
          </w:p>
          <w:p w14:paraId="03597FED" w14:textId="77777777" w:rsidR="004F4EE7" w:rsidRPr="00D23213" w:rsidRDefault="004F4EE7" w:rsidP="008A4A03">
            <w:pPr>
              <w:ind w:left="113" w:right="113"/>
              <w:jc w:val="right"/>
              <w:rPr>
                <w:rFonts w:asciiTheme="minorHAnsi" w:hAnsiTheme="minorHAnsi" w:cstheme="minorHAnsi"/>
                <w:b/>
                <w:bCs/>
                <w:sz w:val="16"/>
                <w:szCs w:val="16"/>
                <w:lang w:val="bs-Latn-BA"/>
              </w:rPr>
            </w:pPr>
          </w:p>
        </w:tc>
        <w:tc>
          <w:tcPr>
            <w:tcW w:w="280" w:type="pct"/>
            <w:tcBorders>
              <w:top w:val="single" w:sz="4" w:space="0" w:color="auto"/>
              <w:bottom w:val="single" w:sz="4" w:space="0" w:color="auto"/>
            </w:tcBorders>
            <w:shd w:val="clear" w:color="auto" w:fill="B8CCE4"/>
            <w:textDirection w:val="btLr"/>
          </w:tcPr>
          <w:p w14:paraId="1B8D57A7" w14:textId="77777777" w:rsidR="004F4EE7" w:rsidRPr="00D23213" w:rsidRDefault="004F4EE7" w:rsidP="008A4A03">
            <w:pPr>
              <w:ind w:left="113" w:right="113"/>
              <w:jc w:val="right"/>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ukupno (I+II+III)</w:t>
            </w:r>
          </w:p>
        </w:tc>
        <w:tc>
          <w:tcPr>
            <w:tcW w:w="224" w:type="pct"/>
            <w:tcBorders>
              <w:top w:val="single" w:sz="4" w:space="0" w:color="auto"/>
              <w:bottom w:val="single" w:sz="4" w:space="0" w:color="auto"/>
            </w:tcBorders>
            <w:shd w:val="clear" w:color="auto" w:fill="B8CCE4"/>
            <w:textDirection w:val="btLr"/>
          </w:tcPr>
          <w:p w14:paraId="1868701F" w14:textId="77777777" w:rsidR="004F4EE7" w:rsidRPr="00D23213" w:rsidRDefault="004F4EE7" w:rsidP="008A4A03">
            <w:pPr>
              <w:ind w:left="113" w:right="113"/>
              <w:jc w:val="right"/>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god. I</w:t>
            </w:r>
          </w:p>
        </w:tc>
        <w:tc>
          <w:tcPr>
            <w:tcW w:w="168" w:type="pct"/>
            <w:tcBorders>
              <w:top w:val="single" w:sz="4" w:space="0" w:color="auto"/>
              <w:bottom w:val="single" w:sz="4" w:space="0" w:color="auto"/>
            </w:tcBorders>
            <w:shd w:val="clear" w:color="auto" w:fill="B8CCE4"/>
            <w:textDirection w:val="btLr"/>
          </w:tcPr>
          <w:p w14:paraId="79A20F8E" w14:textId="77777777" w:rsidR="004F4EE7" w:rsidRPr="00D23213" w:rsidRDefault="004F4EE7" w:rsidP="008A4A03">
            <w:pPr>
              <w:ind w:left="113" w:right="113"/>
              <w:jc w:val="right"/>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god. II</w:t>
            </w:r>
          </w:p>
          <w:p w14:paraId="593BA090" w14:textId="77777777" w:rsidR="004F4EE7" w:rsidRPr="00D23213" w:rsidRDefault="004F4EE7" w:rsidP="008A4A03">
            <w:pPr>
              <w:ind w:left="113" w:right="113"/>
              <w:jc w:val="right"/>
              <w:rPr>
                <w:rFonts w:asciiTheme="minorHAnsi" w:hAnsiTheme="minorHAnsi" w:cstheme="minorHAnsi"/>
                <w:b/>
                <w:bCs/>
                <w:sz w:val="16"/>
                <w:szCs w:val="16"/>
                <w:lang w:val="bs-Latn-BA"/>
              </w:rPr>
            </w:pPr>
          </w:p>
        </w:tc>
        <w:tc>
          <w:tcPr>
            <w:tcW w:w="167" w:type="pct"/>
            <w:tcBorders>
              <w:top w:val="single" w:sz="4" w:space="0" w:color="auto"/>
              <w:bottom w:val="single" w:sz="4" w:space="0" w:color="auto"/>
            </w:tcBorders>
            <w:shd w:val="clear" w:color="auto" w:fill="B8CCE4"/>
            <w:textDirection w:val="btLr"/>
          </w:tcPr>
          <w:p w14:paraId="5F8B9664" w14:textId="77777777" w:rsidR="004F4EE7" w:rsidRPr="00D23213" w:rsidRDefault="004F4EE7" w:rsidP="008A4A03">
            <w:pPr>
              <w:ind w:left="113" w:right="113"/>
              <w:jc w:val="right"/>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god. III</w:t>
            </w:r>
          </w:p>
          <w:p w14:paraId="0915719E" w14:textId="77777777" w:rsidR="004F4EE7" w:rsidRPr="00D23213" w:rsidRDefault="004F4EE7" w:rsidP="008A4A03">
            <w:pPr>
              <w:ind w:left="113" w:right="113"/>
              <w:jc w:val="right"/>
              <w:rPr>
                <w:rFonts w:asciiTheme="minorHAnsi" w:hAnsiTheme="minorHAnsi" w:cstheme="minorHAnsi"/>
                <w:b/>
                <w:bCs/>
                <w:sz w:val="16"/>
                <w:szCs w:val="16"/>
                <w:lang w:val="bs-Latn-BA"/>
              </w:rPr>
            </w:pPr>
          </w:p>
        </w:tc>
        <w:tc>
          <w:tcPr>
            <w:tcW w:w="226" w:type="pct"/>
            <w:tcBorders>
              <w:top w:val="single" w:sz="4" w:space="0" w:color="auto"/>
              <w:bottom w:val="single" w:sz="4" w:space="0" w:color="auto"/>
            </w:tcBorders>
            <w:shd w:val="clear" w:color="auto" w:fill="B8CCE4"/>
            <w:textDirection w:val="btLr"/>
          </w:tcPr>
          <w:p w14:paraId="16B47479" w14:textId="77777777" w:rsidR="004F4EE7" w:rsidRPr="00D23213" w:rsidRDefault="004F4EE7" w:rsidP="008A4A03">
            <w:pPr>
              <w:ind w:left="113" w:right="113"/>
              <w:jc w:val="right"/>
              <w:rPr>
                <w:rFonts w:asciiTheme="minorHAnsi" w:hAnsiTheme="minorHAnsi" w:cstheme="minorHAnsi"/>
                <w:b/>
                <w:bCs/>
                <w:sz w:val="16"/>
                <w:szCs w:val="16"/>
                <w:lang w:val="bs-Latn-BA"/>
              </w:rPr>
            </w:pPr>
            <w:r w:rsidRPr="00D23213">
              <w:rPr>
                <w:rFonts w:asciiTheme="minorHAnsi" w:hAnsiTheme="minorHAnsi" w:cstheme="minorHAnsi"/>
                <w:b/>
                <w:bCs/>
                <w:sz w:val="16"/>
                <w:szCs w:val="16"/>
                <w:lang w:val="bs-Latn-BA"/>
              </w:rPr>
              <w:t>ukupno (I+II+III)</w:t>
            </w:r>
          </w:p>
        </w:tc>
        <w:tc>
          <w:tcPr>
            <w:tcW w:w="224" w:type="pct"/>
            <w:vMerge/>
            <w:tcBorders>
              <w:bottom w:val="single" w:sz="4" w:space="0" w:color="auto"/>
            </w:tcBorders>
            <w:shd w:val="clear" w:color="auto" w:fill="B8CCE4"/>
            <w:textDirection w:val="btLr"/>
          </w:tcPr>
          <w:p w14:paraId="23E4F0AB" w14:textId="77777777" w:rsidR="004F4EE7" w:rsidRPr="00D23213" w:rsidRDefault="004F4EE7" w:rsidP="008A4A03">
            <w:pPr>
              <w:ind w:left="113" w:right="113"/>
              <w:jc w:val="right"/>
              <w:rPr>
                <w:rFonts w:asciiTheme="minorHAnsi" w:hAnsiTheme="minorHAnsi" w:cstheme="minorHAnsi"/>
                <w:b/>
                <w:sz w:val="16"/>
                <w:szCs w:val="16"/>
                <w:lang w:val="bs-Latn-BA"/>
              </w:rPr>
            </w:pPr>
          </w:p>
        </w:tc>
        <w:tc>
          <w:tcPr>
            <w:tcW w:w="331" w:type="pct"/>
            <w:vMerge/>
            <w:tcBorders>
              <w:bottom w:val="single" w:sz="4" w:space="0" w:color="auto"/>
            </w:tcBorders>
            <w:shd w:val="clear" w:color="auto" w:fill="B8CCE4"/>
            <w:textDirection w:val="btLr"/>
          </w:tcPr>
          <w:p w14:paraId="20F19821" w14:textId="77777777" w:rsidR="004F4EE7" w:rsidRPr="00D23213" w:rsidRDefault="004F4EE7" w:rsidP="008A4A03">
            <w:pPr>
              <w:ind w:left="113" w:right="113"/>
              <w:jc w:val="right"/>
              <w:rPr>
                <w:rFonts w:asciiTheme="minorHAnsi" w:hAnsiTheme="minorHAnsi" w:cstheme="minorHAnsi"/>
                <w:b/>
                <w:sz w:val="16"/>
                <w:szCs w:val="16"/>
                <w:lang w:val="bs-Latn-BA"/>
              </w:rPr>
            </w:pPr>
          </w:p>
        </w:tc>
        <w:tc>
          <w:tcPr>
            <w:tcW w:w="363" w:type="pct"/>
            <w:vMerge/>
            <w:tcBorders>
              <w:bottom w:val="single" w:sz="4" w:space="0" w:color="auto"/>
            </w:tcBorders>
            <w:shd w:val="clear" w:color="auto" w:fill="B8CCE4"/>
            <w:textDirection w:val="btLr"/>
          </w:tcPr>
          <w:p w14:paraId="6F65F2D1" w14:textId="77777777" w:rsidR="004F4EE7" w:rsidRPr="00D23213" w:rsidRDefault="004F4EE7" w:rsidP="008A4A03">
            <w:pPr>
              <w:ind w:left="113" w:right="113"/>
              <w:jc w:val="right"/>
              <w:rPr>
                <w:rFonts w:asciiTheme="minorHAnsi" w:hAnsiTheme="minorHAnsi" w:cstheme="minorHAnsi"/>
                <w:b/>
                <w:sz w:val="16"/>
                <w:szCs w:val="16"/>
                <w:lang w:val="bs-Latn-BA"/>
              </w:rPr>
            </w:pPr>
          </w:p>
        </w:tc>
      </w:tr>
      <w:tr w:rsidR="00D23213" w:rsidRPr="00D23213" w14:paraId="17770208" w14:textId="77777777" w:rsidTr="008A4A03">
        <w:trPr>
          <w:trHeight w:val="64"/>
        </w:trPr>
        <w:tc>
          <w:tcPr>
            <w:tcW w:w="211" w:type="pct"/>
            <w:textDirection w:val="btLr"/>
            <w:vAlign w:val="center"/>
          </w:tcPr>
          <w:p w14:paraId="547D2D38" w14:textId="74D80F29"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1/Sec 1.1</w:t>
            </w:r>
          </w:p>
        </w:tc>
        <w:tc>
          <w:tcPr>
            <w:tcW w:w="626" w:type="pct"/>
            <w:vAlign w:val="center"/>
          </w:tcPr>
          <w:p w14:paraId="613CB095" w14:textId="1FCA944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Izgradnja infrastrukture u Poslovnoj zoni Vijaka (2018-2020)</w:t>
            </w:r>
          </w:p>
        </w:tc>
        <w:tc>
          <w:tcPr>
            <w:tcW w:w="838" w:type="pct"/>
            <w:vAlign w:val="center"/>
          </w:tcPr>
          <w:p w14:paraId="704F2BE7" w14:textId="4E8D946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xml:space="preserve">Uspostavljen kontakt sa najmanje X potencijalnih investitora u poslovnu zonu do 2020. </w:t>
            </w:r>
          </w:p>
        </w:tc>
        <w:tc>
          <w:tcPr>
            <w:tcW w:w="503" w:type="pct"/>
            <w:vAlign w:val="center"/>
          </w:tcPr>
          <w:p w14:paraId="28542CB6" w14:textId="5DD0551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2,070,000</w:t>
            </w:r>
          </w:p>
        </w:tc>
        <w:tc>
          <w:tcPr>
            <w:tcW w:w="279" w:type="pct"/>
            <w:vAlign w:val="center"/>
          </w:tcPr>
          <w:p w14:paraId="40441C42" w14:textId="0636ADA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50,000</w:t>
            </w:r>
          </w:p>
        </w:tc>
        <w:tc>
          <w:tcPr>
            <w:tcW w:w="280" w:type="pct"/>
            <w:vAlign w:val="center"/>
          </w:tcPr>
          <w:p w14:paraId="0FFCD729" w14:textId="7AB005E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1,000,000</w:t>
            </w:r>
          </w:p>
        </w:tc>
        <w:tc>
          <w:tcPr>
            <w:tcW w:w="280" w:type="pct"/>
            <w:vAlign w:val="center"/>
          </w:tcPr>
          <w:p w14:paraId="71D708CC" w14:textId="4DDF57E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1,020,000</w:t>
            </w:r>
          </w:p>
        </w:tc>
        <w:tc>
          <w:tcPr>
            <w:tcW w:w="280" w:type="pct"/>
            <w:vAlign w:val="center"/>
          </w:tcPr>
          <w:p w14:paraId="61797032" w14:textId="0C3BB21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2,070,000</w:t>
            </w:r>
          </w:p>
        </w:tc>
        <w:tc>
          <w:tcPr>
            <w:tcW w:w="224" w:type="pct"/>
            <w:vAlign w:val="center"/>
          </w:tcPr>
          <w:p w14:paraId="0AD21232" w14:textId="21D437D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168" w:type="pct"/>
            <w:vAlign w:val="center"/>
          </w:tcPr>
          <w:p w14:paraId="3810CE73" w14:textId="5261E7C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167" w:type="pct"/>
            <w:vAlign w:val="center"/>
          </w:tcPr>
          <w:p w14:paraId="77CCD3C9" w14:textId="3FDD2CB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26" w:type="pct"/>
            <w:vAlign w:val="center"/>
          </w:tcPr>
          <w:p w14:paraId="07E5C733" w14:textId="08F97A2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1517A8B3" w14:textId="08410E3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47AFA535" w14:textId="42CC46F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412700-Izrada regulacionih i urbanističkih planova, projekata, programa i studija</w:t>
            </w:r>
          </w:p>
        </w:tc>
        <w:tc>
          <w:tcPr>
            <w:tcW w:w="363" w:type="pct"/>
            <w:vAlign w:val="center"/>
          </w:tcPr>
          <w:p w14:paraId="3861B55A" w14:textId="31CABDB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prostorno uređenje i Odjeljenje za stambeno-komunalne poslove i investicije</w:t>
            </w:r>
          </w:p>
        </w:tc>
      </w:tr>
      <w:tr w:rsidR="00D23213" w:rsidRPr="00D23213" w14:paraId="7C5C94E7" w14:textId="77777777" w:rsidTr="008A4A03">
        <w:trPr>
          <w:trHeight w:val="64"/>
        </w:trPr>
        <w:tc>
          <w:tcPr>
            <w:tcW w:w="211" w:type="pct"/>
            <w:textDirection w:val="btLr"/>
            <w:vAlign w:val="center"/>
          </w:tcPr>
          <w:p w14:paraId="090585A1" w14:textId="1C5CC1C0"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1/Sec 1.1</w:t>
            </w:r>
          </w:p>
        </w:tc>
        <w:tc>
          <w:tcPr>
            <w:tcW w:w="626" w:type="pct"/>
            <w:vAlign w:val="center"/>
          </w:tcPr>
          <w:p w14:paraId="33E41AA0" w14:textId="33157AF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Privredna saradnja sa dijasporom</w:t>
            </w:r>
            <w:r w:rsidR="008F162D" w:rsidRPr="00D23213">
              <w:rPr>
                <w:rFonts w:asciiTheme="minorHAnsi" w:hAnsiTheme="minorHAnsi" w:cstheme="minorHAnsi"/>
                <w:sz w:val="16"/>
                <w:szCs w:val="16"/>
              </w:rPr>
              <w:t xml:space="preserve"> (2018-2020)</w:t>
            </w:r>
          </w:p>
        </w:tc>
        <w:tc>
          <w:tcPr>
            <w:tcW w:w="838" w:type="pct"/>
            <w:vAlign w:val="center"/>
          </w:tcPr>
          <w:p w14:paraId="50DE3B40" w14:textId="613BCBE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Najmanje X preduzetnika iz dijaspore izrazilo interesovanje za investicije</w:t>
            </w:r>
            <w:r w:rsidRPr="00D23213">
              <w:rPr>
                <w:rFonts w:asciiTheme="minorHAnsi" w:hAnsiTheme="minorHAnsi" w:cstheme="minorHAnsi"/>
                <w:sz w:val="16"/>
                <w:szCs w:val="16"/>
              </w:rPr>
              <w:br/>
              <w:t>Najmanje X inicijativa za investicije pokrenuto u saradnji sa dijasporom</w:t>
            </w:r>
          </w:p>
        </w:tc>
        <w:tc>
          <w:tcPr>
            <w:tcW w:w="503" w:type="pct"/>
            <w:vAlign w:val="center"/>
          </w:tcPr>
          <w:p w14:paraId="7893D8E5" w14:textId="7250750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0 </w:t>
            </w:r>
          </w:p>
        </w:tc>
        <w:tc>
          <w:tcPr>
            <w:tcW w:w="279" w:type="pct"/>
            <w:vAlign w:val="center"/>
          </w:tcPr>
          <w:p w14:paraId="5AF4B071" w14:textId="4014D53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7821C493" w14:textId="3E01DB3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427F4053" w14:textId="327EAAC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26D392FC" w14:textId="4BAE6B1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1DBA976E" w14:textId="65D0BCE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168" w:type="pct"/>
            <w:vAlign w:val="center"/>
          </w:tcPr>
          <w:p w14:paraId="1A500E30" w14:textId="7A6401F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167" w:type="pct"/>
            <w:vAlign w:val="center"/>
          </w:tcPr>
          <w:p w14:paraId="0C3CF5E6" w14:textId="3EBA894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26" w:type="pct"/>
            <w:vAlign w:val="center"/>
          </w:tcPr>
          <w:p w14:paraId="19B21D59" w14:textId="07BA141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611C99ED" w14:textId="49DD868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2149F496" w14:textId="2D77C1E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615F27" w:rsidRPr="00D23213">
              <w:rPr>
                <w:rFonts w:asciiTheme="minorHAnsi" w:hAnsiTheme="minorHAnsi" w:cstheme="minorHAnsi"/>
                <w:sz w:val="16"/>
                <w:szCs w:val="16"/>
              </w:rPr>
              <w:t>-</w:t>
            </w:r>
          </w:p>
        </w:tc>
        <w:tc>
          <w:tcPr>
            <w:tcW w:w="363" w:type="pct"/>
            <w:vAlign w:val="center"/>
          </w:tcPr>
          <w:p w14:paraId="2D38F004" w14:textId="6038B59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xml:space="preserve">Odjeljenje za lokalni ekonomski razvoj i društvene djelatnosti </w:t>
            </w:r>
          </w:p>
        </w:tc>
      </w:tr>
      <w:tr w:rsidR="00D23213" w:rsidRPr="00D23213" w14:paraId="77D5B55F" w14:textId="77777777" w:rsidTr="008A4A03">
        <w:trPr>
          <w:trHeight w:val="64"/>
        </w:trPr>
        <w:tc>
          <w:tcPr>
            <w:tcW w:w="211" w:type="pct"/>
            <w:textDirection w:val="btLr"/>
            <w:vAlign w:val="center"/>
          </w:tcPr>
          <w:p w14:paraId="3034DEA8" w14:textId="13DEEB62"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1/Sec 1.1</w:t>
            </w:r>
          </w:p>
        </w:tc>
        <w:tc>
          <w:tcPr>
            <w:tcW w:w="626" w:type="pct"/>
            <w:vAlign w:val="center"/>
          </w:tcPr>
          <w:p w14:paraId="774E9F28" w14:textId="3EC2FA0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Promocija Prnjavora kao investicione destinacije</w:t>
            </w:r>
            <w:r w:rsidR="008F162D" w:rsidRPr="00D23213">
              <w:rPr>
                <w:rFonts w:asciiTheme="minorHAnsi" w:hAnsiTheme="minorHAnsi" w:cstheme="minorHAnsi"/>
                <w:sz w:val="16"/>
                <w:szCs w:val="16"/>
              </w:rPr>
              <w:t xml:space="preserve"> (2018-2020)</w:t>
            </w:r>
          </w:p>
        </w:tc>
        <w:tc>
          <w:tcPr>
            <w:tcW w:w="838" w:type="pct"/>
            <w:vAlign w:val="center"/>
          </w:tcPr>
          <w:p w14:paraId="1E3CB05A" w14:textId="0662B4A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Uspostavljen kontakt sa / pružena informativna podrška za najmanje X potencijalnih investitora do 2020.</w:t>
            </w:r>
          </w:p>
        </w:tc>
        <w:tc>
          <w:tcPr>
            <w:tcW w:w="503" w:type="pct"/>
            <w:vAlign w:val="center"/>
          </w:tcPr>
          <w:p w14:paraId="1946390D" w14:textId="13B8ACC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250,000</w:t>
            </w:r>
          </w:p>
        </w:tc>
        <w:tc>
          <w:tcPr>
            <w:tcW w:w="279" w:type="pct"/>
            <w:vAlign w:val="center"/>
          </w:tcPr>
          <w:p w14:paraId="36075EB9" w14:textId="7D4EA55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80,000</w:t>
            </w:r>
          </w:p>
        </w:tc>
        <w:tc>
          <w:tcPr>
            <w:tcW w:w="280" w:type="pct"/>
            <w:vAlign w:val="center"/>
          </w:tcPr>
          <w:p w14:paraId="53C99F1F" w14:textId="4D2B15D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80,000</w:t>
            </w:r>
          </w:p>
        </w:tc>
        <w:tc>
          <w:tcPr>
            <w:tcW w:w="280" w:type="pct"/>
            <w:vAlign w:val="center"/>
          </w:tcPr>
          <w:p w14:paraId="78EA3FC6" w14:textId="08F0A06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90,000</w:t>
            </w:r>
          </w:p>
        </w:tc>
        <w:tc>
          <w:tcPr>
            <w:tcW w:w="280" w:type="pct"/>
            <w:vAlign w:val="center"/>
          </w:tcPr>
          <w:p w14:paraId="4D9D9520" w14:textId="1246997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250,000</w:t>
            </w:r>
          </w:p>
        </w:tc>
        <w:tc>
          <w:tcPr>
            <w:tcW w:w="224" w:type="pct"/>
            <w:vAlign w:val="center"/>
          </w:tcPr>
          <w:p w14:paraId="316ED2C1" w14:textId="08A0AD0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168" w:type="pct"/>
            <w:vAlign w:val="center"/>
          </w:tcPr>
          <w:p w14:paraId="0397FFB2" w14:textId="18409D5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167" w:type="pct"/>
            <w:vAlign w:val="center"/>
          </w:tcPr>
          <w:p w14:paraId="7939115F" w14:textId="3702D32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26" w:type="pct"/>
            <w:vAlign w:val="center"/>
          </w:tcPr>
          <w:p w14:paraId="1D5C752E" w14:textId="5B5C35C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7F082F5D" w14:textId="7A9C316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780DF1D3" w14:textId="0A68FD9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412700- medijsko praćenje,           415200 - Sredstva za implementaciju</w:t>
            </w:r>
            <w:r w:rsidR="009C7970" w:rsidRPr="00D23213">
              <w:rPr>
                <w:rFonts w:asciiTheme="minorHAnsi" w:hAnsiTheme="minorHAnsi" w:cstheme="minorHAnsi"/>
                <w:sz w:val="16"/>
                <w:szCs w:val="16"/>
              </w:rPr>
              <w:t xml:space="preserve"> </w:t>
            </w:r>
            <w:r w:rsidRPr="00D23213">
              <w:rPr>
                <w:rFonts w:asciiTheme="minorHAnsi" w:hAnsiTheme="minorHAnsi" w:cstheme="minorHAnsi"/>
                <w:sz w:val="16"/>
                <w:szCs w:val="16"/>
              </w:rPr>
              <w:t>i sufinansiranje projekata predviđe</w:t>
            </w:r>
            <w:r w:rsidRPr="00D23213">
              <w:rPr>
                <w:rFonts w:asciiTheme="minorHAnsi" w:hAnsiTheme="minorHAnsi" w:cstheme="minorHAnsi"/>
                <w:sz w:val="16"/>
                <w:szCs w:val="16"/>
              </w:rPr>
              <w:lastRenderedPageBreak/>
              <w:t>nih Strategijom razvoja opštine Prnjavor z aperiod 2012-2020. godina</w:t>
            </w:r>
          </w:p>
        </w:tc>
        <w:tc>
          <w:tcPr>
            <w:tcW w:w="363" w:type="pct"/>
            <w:vAlign w:val="center"/>
          </w:tcPr>
          <w:p w14:paraId="4A033359" w14:textId="307D253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lastRenderedPageBreak/>
              <w:t>Odjeljenje za lokalni ekonomski razvoj i društvene djelatnosti, Kabinet načelnika</w:t>
            </w:r>
          </w:p>
        </w:tc>
      </w:tr>
      <w:tr w:rsidR="00D23213" w:rsidRPr="00D23213" w14:paraId="4118A3A4" w14:textId="77777777" w:rsidTr="008A4A03">
        <w:trPr>
          <w:trHeight w:val="64"/>
        </w:trPr>
        <w:tc>
          <w:tcPr>
            <w:tcW w:w="211" w:type="pct"/>
            <w:textDirection w:val="btLr"/>
            <w:vAlign w:val="center"/>
          </w:tcPr>
          <w:p w14:paraId="09EAA2E7" w14:textId="2EC926C9"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1/Sec 1.1</w:t>
            </w:r>
          </w:p>
        </w:tc>
        <w:tc>
          <w:tcPr>
            <w:tcW w:w="626" w:type="pct"/>
            <w:vAlign w:val="center"/>
          </w:tcPr>
          <w:p w14:paraId="09783BE2" w14:textId="75E1B45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Usklađivanje ponude i tražnje na tržištu rada (2018-2019)</w:t>
            </w:r>
          </w:p>
        </w:tc>
        <w:tc>
          <w:tcPr>
            <w:tcW w:w="838" w:type="pct"/>
            <w:vAlign w:val="center"/>
          </w:tcPr>
          <w:p w14:paraId="649DF6E9" w14:textId="6ED0B78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Najmanje X polaznika obuka za traženje posla i X za rad u industriji</w:t>
            </w:r>
          </w:p>
        </w:tc>
        <w:tc>
          <w:tcPr>
            <w:tcW w:w="503" w:type="pct"/>
            <w:vAlign w:val="center"/>
          </w:tcPr>
          <w:p w14:paraId="1B163020" w14:textId="581DF0B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435,813</w:t>
            </w:r>
          </w:p>
        </w:tc>
        <w:tc>
          <w:tcPr>
            <w:tcW w:w="279" w:type="pct"/>
            <w:vAlign w:val="center"/>
          </w:tcPr>
          <w:p w14:paraId="3D40E92F" w14:textId="6857BE3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7E3E7455" w14:textId="77BF36E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3D01CCED" w14:textId="550498E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091F773E" w14:textId="7F66BDE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172E4285" w14:textId="7B885EB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435,813</w:t>
            </w:r>
          </w:p>
        </w:tc>
        <w:tc>
          <w:tcPr>
            <w:tcW w:w="168" w:type="pct"/>
            <w:vAlign w:val="center"/>
          </w:tcPr>
          <w:p w14:paraId="64BA963F" w14:textId="0D81827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167" w:type="pct"/>
            <w:vAlign w:val="center"/>
          </w:tcPr>
          <w:p w14:paraId="6522D5FC" w14:textId="3D28899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26" w:type="pct"/>
            <w:vAlign w:val="center"/>
          </w:tcPr>
          <w:p w14:paraId="0478225B" w14:textId="040E206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435,813</w:t>
            </w:r>
          </w:p>
        </w:tc>
        <w:tc>
          <w:tcPr>
            <w:tcW w:w="224" w:type="pct"/>
            <w:vAlign w:val="center"/>
          </w:tcPr>
          <w:p w14:paraId="0FCAAF90" w14:textId="4C089ED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31" w:type="pct"/>
            <w:vAlign w:val="center"/>
          </w:tcPr>
          <w:p w14:paraId="6DBDEB1F" w14:textId="01C1A5D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Evropska unija</w:t>
            </w:r>
          </w:p>
        </w:tc>
        <w:tc>
          <w:tcPr>
            <w:tcW w:w="363" w:type="pct"/>
            <w:vAlign w:val="center"/>
          </w:tcPr>
          <w:p w14:paraId="29F1ECDD" w14:textId="7D043B3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lokalni ekonomski razvoj  i društvene djelatnosti</w:t>
            </w:r>
          </w:p>
        </w:tc>
      </w:tr>
      <w:tr w:rsidR="00D23213" w:rsidRPr="00D23213" w14:paraId="58BE1FD3" w14:textId="77777777" w:rsidTr="008A4A03">
        <w:trPr>
          <w:trHeight w:val="64"/>
        </w:trPr>
        <w:tc>
          <w:tcPr>
            <w:tcW w:w="211" w:type="pct"/>
            <w:textDirection w:val="btLr"/>
            <w:vAlign w:val="center"/>
          </w:tcPr>
          <w:p w14:paraId="0EECA0EC" w14:textId="0FA77BC3"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1/Sec 1.1</w:t>
            </w:r>
          </w:p>
        </w:tc>
        <w:tc>
          <w:tcPr>
            <w:tcW w:w="626" w:type="pct"/>
            <w:vAlign w:val="center"/>
          </w:tcPr>
          <w:p w14:paraId="26E63376" w14:textId="5574676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Izgradnja kapaciteta za pružanje podrške/usluga privredi</w:t>
            </w:r>
            <w:r w:rsidR="00807983" w:rsidRPr="00D23213">
              <w:rPr>
                <w:rFonts w:asciiTheme="minorHAnsi" w:hAnsiTheme="minorHAnsi" w:cstheme="minorHAnsi"/>
                <w:sz w:val="16"/>
                <w:szCs w:val="16"/>
              </w:rPr>
              <w:t xml:space="preserve"> (2019)</w:t>
            </w:r>
          </w:p>
        </w:tc>
        <w:tc>
          <w:tcPr>
            <w:tcW w:w="838" w:type="pct"/>
            <w:vAlign w:val="center"/>
          </w:tcPr>
          <w:p w14:paraId="6850F268" w14:textId="69DACAE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Najmanje X korisnika usluga</w:t>
            </w:r>
          </w:p>
        </w:tc>
        <w:tc>
          <w:tcPr>
            <w:tcW w:w="503" w:type="pct"/>
            <w:vAlign w:val="center"/>
          </w:tcPr>
          <w:p w14:paraId="047076FF" w14:textId="77B0F36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E95632" w:rsidRPr="00D23213">
              <w:rPr>
                <w:rFonts w:asciiTheme="minorHAnsi" w:hAnsiTheme="minorHAnsi" w:cstheme="minorHAnsi"/>
                <w:sz w:val="16"/>
                <w:szCs w:val="16"/>
              </w:rPr>
              <w:t>50,000</w:t>
            </w:r>
          </w:p>
        </w:tc>
        <w:tc>
          <w:tcPr>
            <w:tcW w:w="279" w:type="pct"/>
            <w:vAlign w:val="center"/>
          </w:tcPr>
          <w:p w14:paraId="6991C7BC" w14:textId="2390CBD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280" w:type="pct"/>
            <w:vAlign w:val="center"/>
          </w:tcPr>
          <w:p w14:paraId="18A872DB" w14:textId="04E7FD0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280" w:type="pct"/>
            <w:vAlign w:val="center"/>
          </w:tcPr>
          <w:p w14:paraId="114B0331" w14:textId="52E3935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280" w:type="pct"/>
            <w:vAlign w:val="center"/>
          </w:tcPr>
          <w:p w14:paraId="05C63B28" w14:textId="7F97821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20D82488" w14:textId="2CFDCCA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168" w:type="pct"/>
            <w:vAlign w:val="center"/>
          </w:tcPr>
          <w:p w14:paraId="1EFE3553" w14:textId="1FA04C0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167" w:type="pct"/>
            <w:vAlign w:val="center"/>
          </w:tcPr>
          <w:p w14:paraId="1950624F" w14:textId="6392697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226" w:type="pct"/>
            <w:vAlign w:val="center"/>
          </w:tcPr>
          <w:p w14:paraId="3BD82A2B" w14:textId="02E4AC7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6ED699AC" w14:textId="26608E7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31" w:type="pct"/>
            <w:vAlign w:val="center"/>
          </w:tcPr>
          <w:p w14:paraId="39D24476" w14:textId="595FACA7" w:rsidR="0013614F" w:rsidRPr="00D23213" w:rsidRDefault="00D23213"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Evropska unija</w:t>
            </w:r>
          </w:p>
        </w:tc>
        <w:tc>
          <w:tcPr>
            <w:tcW w:w="363" w:type="pct"/>
            <w:vAlign w:val="center"/>
          </w:tcPr>
          <w:p w14:paraId="529928C6" w14:textId="5F561AE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r>
      <w:tr w:rsidR="00D23213" w:rsidRPr="00D23213" w14:paraId="433D9AF4" w14:textId="77777777" w:rsidTr="008A4A03">
        <w:trPr>
          <w:trHeight w:val="64"/>
        </w:trPr>
        <w:tc>
          <w:tcPr>
            <w:tcW w:w="211" w:type="pct"/>
            <w:textDirection w:val="btLr"/>
            <w:vAlign w:val="center"/>
          </w:tcPr>
          <w:p w14:paraId="0BAA8E9F" w14:textId="3EBAA3B9"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1/Sec 1.1</w:t>
            </w:r>
          </w:p>
        </w:tc>
        <w:tc>
          <w:tcPr>
            <w:tcW w:w="626" w:type="pct"/>
            <w:vAlign w:val="center"/>
          </w:tcPr>
          <w:p w14:paraId="292E23C2" w14:textId="1927BFC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Promocija obnovljive energije i energetske efikasnosti u privredi (2018-2019)</w:t>
            </w:r>
          </w:p>
        </w:tc>
        <w:tc>
          <w:tcPr>
            <w:tcW w:w="838" w:type="pct"/>
            <w:vAlign w:val="center"/>
          </w:tcPr>
          <w:p w14:paraId="6A1E9394" w14:textId="24F531C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xml:space="preserve">Najmanje X korisnika informativne i savjetodavne podrške </w:t>
            </w:r>
          </w:p>
        </w:tc>
        <w:tc>
          <w:tcPr>
            <w:tcW w:w="503" w:type="pct"/>
            <w:vAlign w:val="center"/>
          </w:tcPr>
          <w:p w14:paraId="32108742" w14:textId="6D82614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20,000</w:t>
            </w:r>
          </w:p>
        </w:tc>
        <w:tc>
          <w:tcPr>
            <w:tcW w:w="279" w:type="pct"/>
            <w:vAlign w:val="center"/>
          </w:tcPr>
          <w:p w14:paraId="3F21B76F" w14:textId="74DD74D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0B86E99B" w14:textId="4FD0DF6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51BC8F56" w14:textId="4FAD7D7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49D3C0A4" w14:textId="0CD63AF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5B922AB8" w14:textId="19B7ECA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15,000</w:t>
            </w:r>
          </w:p>
        </w:tc>
        <w:tc>
          <w:tcPr>
            <w:tcW w:w="168" w:type="pct"/>
            <w:vAlign w:val="center"/>
          </w:tcPr>
          <w:p w14:paraId="117DB834" w14:textId="3FFD88D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5,000</w:t>
            </w:r>
          </w:p>
        </w:tc>
        <w:tc>
          <w:tcPr>
            <w:tcW w:w="167" w:type="pct"/>
            <w:vAlign w:val="center"/>
          </w:tcPr>
          <w:p w14:paraId="1F1050D3" w14:textId="4E8B8D9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26" w:type="pct"/>
            <w:vAlign w:val="center"/>
          </w:tcPr>
          <w:p w14:paraId="4FF96F64" w14:textId="1ACE1D7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20,000</w:t>
            </w:r>
          </w:p>
        </w:tc>
        <w:tc>
          <w:tcPr>
            <w:tcW w:w="224" w:type="pct"/>
            <w:vAlign w:val="center"/>
          </w:tcPr>
          <w:p w14:paraId="2F3326C5" w14:textId="0552DED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58632C6E" w14:textId="573ADC0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USAID, GIZ, MIER, MPU, MPŠV</w:t>
            </w:r>
          </w:p>
        </w:tc>
        <w:tc>
          <w:tcPr>
            <w:tcW w:w="363" w:type="pct"/>
            <w:vAlign w:val="center"/>
          </w:tcPr>
          <w:p w14:paraId="6FAC6222" w14:textId="0817EC2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prostorno uređenje</w:t>
            </w:r>
          </w:p>
        </w:tc>
      </w:tr>
      <w:tr w:rsidR="00D23213" w:rsidRPr="00D23213" w14:paraId="0CAE54D5" w14:textId="77777777" w:rsidTr="008A4A03">
        <w:trPr>
          <w:trHeight w:val="64"/>
        </w:trPr>
        <w:tc>
          <w:tcPr>
            <w:tcW w:w="211" w:type="pct"/>
            <w:textDirection w:val="btLr"/>
            <w:vAlign w:val="center"/>
          </w:tcPr>
          <w:p w14:paraId="542F6A1A" w14:textId="3DDAA20E"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1/Sec 1.2</w:t>
            </w:r>
          </w:p>
        </w:tc>
        <w:tc>
          <w:tcPr>
            <w:tcW w:w="626" w:type="pct"/>
            <w:vAlign w:val="center"/>
          </w:tcPr>
          <w:p w14:paraId="3A06537E" w14:textId="0787D50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Mjera: Podsticaji za poljoprivredne proizvođače (2018-2020)</w:t>
            </w:r>
          </w:p>
        </w:tc>
        <w:tc>
          <w:tcPr>
            <w:tcW w:w="838" w:type="pct"/>
            <w:vAlign w:val="center"/>
          </w:tcPr>
          <w:p w14:paraId="1FBDDFC4" w14:textId="0103E3C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Podržano najmanje 25 primarnih proizvođača i najmanje 5 subjekata u prerađivačkoj industriji poljoprivrednih proizvoda godišnje</w:t>
            </w:r>
          </w:p>
        </w:tc>
        <w:tc>
          <w:tcPr>
            <w:tcW w:w="503" w:type="pct"/>
            <w:vAlign w:val="center"/>
          </w:tcPr>
          <w:p w14:paraId="523E379F" w14:textId="0D47182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1,410,000</w:t>
            </w:r>
          </w:p>
        </w:tc>
        <w:tc>
          <w:tcPr>
            <w:tcW w:w="279" w:type="pct"/>
            <w:vAlign w:val="center"/>
          </w:tcPr>
          <w:p w14:paraId="37E8AB4D" w14:textId="11A0269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470,000</w:t>
            </w:r>
          </w:p>
        </w:tc>
        <w:tc>
          <w:tcPr>
            <w:tcW w:w="280" w:type="pct"/>
            <w:vAlign w:val="center"/>
          </w:tcPr>
          <w:p w14:paraId="740068F5" w14:textId="47F6209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470,000</w:t>
            </w:r>
          </w:p>
        </w:tc>
        <w:tc>
          <w:tcPr>
            <w:tcW w:w="280" w:type="pct"/>
            <w:vAlign w:val="center"/>
          </w:tcPr>
          <w:p w14:paraId="4EC783DA" w14:textId="484C11B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470,000</w:t>
            </w:r>
          </w:p>
        </w:tc>
        <w:tc>
          <w:tcPr>
            <w:tcW w:w="280" w:type="pct"/>
            <w:vAlign w:val="center"/>
          </w:tcPr>
          <w:p w14:paraId="571A1DFB" w14:textId="2951B9A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1,410,000</w:t>
            </w:r>
          </w:p>
        </w:tc>
        <w:tc>
          <w:tcPr>
            <w:tcW w:w="224" w:type="pct"/>
            <w:vAlign w:val="center"/>
          </w:tcPr>
          <w:p w14:paraId="1FFD1395" w14:textId="704E3CA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168" w:type="pct"/>
            <w:vAlign w:val="center"/>
          </w:tcPr>
          <w:p w14:paraId="4AE4F619" w14:textId="139F391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167" w:type="pct"/>
            <w:vAlign w:val="center"/>
          </w:tcPr>
          <w:p w14:paraId="4CC1F50C" w14:textId="2862D62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26" w:type="pct"/>
            <w:vAlign w:val="center"/>
          </w:tcPr>
          <w:p w14:paraId="47E2B0A4" w14:textId="391D052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5E9F50E7" w14:textId="18CB9EC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20EF9924" w14:textId="5697603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414100 - Podsticaji poljoprivrdnim proizvođačima, 416100 - Regresiranje kamata na poljoprivredne kredite</w:t>
            </w:r>
          </w:p>
        </w:tc>
        <w:tc>
          <w:tcPr>
            <w:tcW w:w="363" w:type="pct"/>
            <w:vAlign w:val="center"/>
          </w:tcPr>
          <w:p w14:paraId="22D2D126" w14:textId="0852AD4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poljoprivredu, vodoprivredu i šumarstvo</w:t>
            </w:r>
          </w:p>
        </w:tc>
      </w:tr>
      <w:tr w:rsidR="00D23213" w:rsidRPr="00D23213" w14:paraId="06F277DF" w14:textId="77777777" w:rsidTr="008A4A03">
        <w:trPr>
          <w:trHeight w:val="64"/>
        </w:trPr>
        <w:tc>
          <w:tcPr>
            <w:tcW w:w="211" w:type="pct"/>
            <w:textDirection w:val="btLr"/>
            <w:vAlign w:val="center"/>
          </w:tcPr>
          <w:p w14:paraId="31042685" w14:textId="7B763A20"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1/Sec 1.2</w:t>
            </w:r>
          </w:p>
        </w:tc>
        <w:tc>
          <w:tcPr>
            <w:tcW w:w="626" w:type="pct"/>
            <w:vAlign w:val="center"/>
          </w:tcPr>
          <w:p w14:paraId="07467B09" w14:textId="01A0DE8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xml:space="preserve">Izgradnja kapaciteta poljoprivredne zadruge (za skladištenje i pakovanje poljoprivrednih proizvoda, </w:t>
            </w:r>
            <w:r w:rsidRPr="00D23213">
              <w:rPr>
                <w:rFonts w:asciiTheme="minorHAnsi" w:hAnsiTheme="minorHAnsi" w:cstheme="minorHAnsi"/>
                <w:sz w:val="16"/>
                <w:szCs w:val="16"/>
              </w:rPr>
              <w:lastRenderedPageBreak/>
              <w:t>povezivanje sa tržištem) (2019-2020)</w:t>
            </w:r>
          </w:p>
        </w:tc>
        <w:tc>
          <w:tcPr>
            <w:tcW w:w="838" w:type="pct"/>
            <w:vAlign w:val="center"/>
          </w:tcPr>
          <w:p w14:paraId="35EABD05" w14:textId="13862E9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lastRenderedPageBreak/>
              <w:t>Najmanje X članova zadruge</w:t>
            </w:r>
            <w:r w:rsidRPr="00D23213">
              <w:rPr>
                <w:rFonts w:asciiTheme="minorHAnsi" w:hAnsiTheme="minorHAnsi" w:cstheme="minorHAnsi"/>
                <w:sz w:val="16"/>
                <w:szCs w:val="16"/>
              </w:rPr>
              <w:br/>
              <w:t>Najmanje X korisnika usluga</w:t>
            </w:r>
            <w:r w:rsidRPr="00D23213">
              <w:rPr>
                <w:rFonts w:asciiTheme="minorHAnsi" w:hAnsiTheme="minorHAnsi" w:cstheme="minorHAnsi"/>
                <w:sz w:val="16"/>
                <w:szCs w:val="16"/>
              </w:rPr>
              <w:br/>
              <w:t xml:space="preserve">Najmanje X poslovnih partnera </w:t>
            </w:r>
          </w:p>
        </w:tc>
        <w:tc>
          <w:tcPr>
            <w:tcW w:w="503" w:type="pct"/>
            <w:vAlign w:val="center"/>
          </w:tcPr>
          <w:p w14:paraId="09623DDD" w14:textId="1DB57A1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100,000</w:t>
            </w:r>
          </w:p>
        </w:tc>
        <w:tc>
          <w:tcPr>
            <w:tcW w:w="279" w:type="pct"/>
            <w:vAlign w:val="center"/>
          </w:tcPr>
          <w:p w14:paraId="18EC00FC" w14:textId="124C5DF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30EE71C7" w14:textId="472C041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w:t>
            </w:r>
          </w:p>
        </w:tc>
        <w:tc>
          <w:tcPr>
            <w:tcW w:w="280" w:type="pct"/>
            <w:vAlign w:val="center"/>
          </w:tcPr>
          <w:p w14:paraId="468FBBE7" w14:textId="7EA5EF3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w:t>
            </w:r>
          </w:p>
        </w:tc>
        <w:tc>
          <w:tcPr>
            <w:tcW w:w="280" w:type="pct"/>
            <w:vAlign w:val="center"/>
          </w:tcPr>
          <w:p w14:paraId="13287A3E" w14:textId="3ED83E9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20,000</w:t>
            </w:r>
          </w:p>
        </w:tc>
        <w:tc>
          <w:tcPr>
            <w:tcW w:w="224" w:type="pct"/>
            <w:vAlign w:val="center"/>
          </w:tcPr>
          <w:p w14:paraId="12E65087" w14:textId="295C50C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168" w:type="pct"/>
            <w:vAlign w:val="center"/>
          </w:tcPr>
          <w:p w14:paraId="28AC00C5" w14:textId="5593124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40,000</w:t>
            </w:r>
          </w:p>
        </w:tc>
        <w:tc>
          <w:tcPr>
            <w:tcW w:w="167" w:type="pct"/>
            <w:vAlign w:val="center"/>
          </w:tcPr>
          <w:p w14:paraId="69A6421B" w14:textId="0630BB3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40,000</w:t>
            </w:r>
          </w:p>
        </w:tc>
        <w:tc>
          <w:tcPr>
            <w:tcW w:w="226" w:type="pct"/>
            <w:vAlign w:val="center"/>
          </w:tcPr>
          <w:p w14:paraId="2A42FD05" w14:textId="168AA77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80,000</w:t>
            </w:r>
          </w:p>
        </w:tc>
        <w:tc>
          <w:tcPr>
            <w:tcW w:w="224" w:type="pct"/>
            <w:vAlign w:val="center"/>
          </w:tcPr>
          <w:p w14:paraId="66F18247" w14:textId="66CDE5A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5A1FD959" w14:textId="03EF998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IRB, JLS</w:t>
            </w:r>
          </w:p>
        </w:tc>
        <w:tc>
          <w:tcPr>
            <w:tcW w:w="363" w:type="pct"/>
            <w:vAlign w:val="center"/>
          </w:tcPr>
          <w:p w14:paraId="12E21954" w14:textId="19E268F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poljoprivredu, vodoprivredu i šumarstvo</w:t>
            </w:r>
          </w:p>
        </w:tc>
      </w:tr>
      <w:tr w:rsidR="00D23213" w:rsidRPr="00D23213" w14:paraId="32B9B2AE" w14:textId="77777777" w:rsidTr="008A4A03">
        <w:trPr>
          <w:trHeight w:val="64"/>
        </w:trPr>
        <w:tc>
          <w:tcPr>
            <w:tcW w:w="211" w:type="pct"/>
            <w:textDirection w:val="btLr"/>
            <w:vAlign w:val="center"/>
          </w:tcPr>
          <w:p w14:paraId="7AE300DE" w14:textId="5619D501"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1/Sec 1.2</w:t>
            </w:r>
          </w:p>
        </w:tc>
        <w:tc>
          <w:tcPr>
            <w:tcW w:w="626" w:type="pct"/>
            <w:vAlign w:val="center"/>
          </w:tcPr>
          <w:p w14:paraId="71A52CCC" w14:textId="380D673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Mjera: Savjetodavna podrška poljoprivrednim proizvođačima (2018-2020)</w:t>
            </w:r>
          </w:p>
        </w:tc>
        <w:tc>
          <w:tcPr>
            <w:tcW w:w="838" w:type="pct"/>
            <w:vAlign w:val="center"/>
          </w:tcPr>
          <w:p w14:paraId="68B47A87" w14:textId="753E3F1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Unapređeni kapaciteti za najmanje X% proizvođača do kraja 2020. godine (sajam Novi Sad 50, sajam pčelarstva Beograd 50 + 100 u opštini)</w:t>
            </w:r>
          </w:p>
        </w:tc>
        <w:tc>
          <w:tcPr>
            <w:tcW w:w="503" w:type="pct"/>
            <w:vAlign w:val="center"/>
          </w:tcPr>
          <w:p w14:paraId="6ECD86F3" w14:textId="70081EF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21,000</w:t>
            </w:r>
          </w:p>
        </w:tc>
        <w:tc>
          <w:tcPr>
            <w:tcW w:w="279" w:type="pct"/>
            <w:vAlign w:val="center"/>
          </w:tcPr>
          <w:p w14:paraId="5DBF066C" w14:textId="08E7219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7,000</w:t>
            </w:r>
          </w:p>
        </w:tc>
        <w:tc>
          <w:tcPr>
            <w:tcW w:w="280" w:type="pct"/>
            <w:vAlign w:val="center"/>
          </w:tcPr>
          <w:p w14:paraId="046637AD" w14:textId="26018BA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7,000</w:t>
            </w:r>
          </w:p>
        </w:tc>
        <w:tc>
          <w:tcPr>
            <w:tcW w:w="280" w:type="pct"/>
            <w:vAlign w:val="center"/>
          </w:tcPr>
          <w:p w14:paraId="6072A48A" w14:textId="24577D0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7,000</w:t>
            </w:r>
          </w:p>
        </w:tc>
        <w:tc>
          <w:tcPr>
            <w:tcW w:w="280" w:type="pct"/>
            <w:vAlign w:val="center"/>
          </w:tcPr>
          <w:p w14:paraId="291F20EB" w14:textId="4B645CF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21,000</w:t>
            </w:r>
          </w:p>
        </w:tc>
        <w:tc>
          <w:tcPr>
            <w:tcW w:w="224" w:type="pct"/>
            <w:vAlign w:val="center"/>
          </w:tcPr>
          <w:p w14:paraId="2A3EA898" w14:textId="60463C9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168" w:type="pct"/>
            <w:vAlign w:val="center"/>
          </w:tcPr>
          <w:p w14:paraId="40D6A529" w14:textId="497E607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167" w:type="pct"/>
            <w:vAlign w:val="center"/>
          </w:tcPr>
          <w:p w14:paraId="058AFCDA" w14:textId="76B7D32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26" w:type="pct"/>
            <w:vAlign w:val="center"/>
          </w:tcPr>
          <w:p w14:paraId="4012DA56" w14:textId="7504696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2E4EF65A" w14:textId="1DE10AF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264D9DC2" w14:textId="5D6F8E8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412700 - Edukacija poljoprivrednih proizvođača</w:t>
            </w:r>
          </w:p>
        </w:tc>
        <w:tc>
          <w:tcPr>
            <w:tcW w:w="363" w:type="pct"/>
            <w:vAlign w:val="center"/>
          </w:tcPr>
          <w:p w14:paraId="0AA9E4C3" w14:textId="1BBB021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poljoprivredu, vodoprivredu i šumarstvo</w:t>
            </w:r>
          </w:p>
        </w:tc>
      </w:tr>
      <w:tr w:rsidR="00D23213" w:rsidRPr="00D23213" w14:paraId="2A51DAC3" w14:textId="77777777" w:rsidTr="008A4A03">
        <w:trPr>
          <w:trHeight w:val="64"/>
        </w:trPr>
        <w:tc>
          <w:tcPr>
            <w:tcW w:w="211" w:type="pct"/>
            <w:textDirection w:val="btLr"/>
            <w:vAlign w:val="center"/>
          </w:tcPr>
          <w:p w14:paraId="6742B838" w14:textId="0298C512"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1/Sec 1.3</w:t>
            </w:r>
          </w:p>
        </w:tc>
        <w:tc>
          <w:tcPr>
            <w:tcW w:w="626" w:type="pct"/>
            <w:vAlign w:val="center"/>
          </w:tcPr>
          <w:p w14:paraId="05A23D13" w14:textId="78B1464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Unapređenje i promocija turističke ponude</w:t>
            </w:r>
            <w:r w:rsidR="00807983" w:rsidRPr="00D23213">
              <w:rPr>
                <w:rFonts w:asciiTheme="minorHAnsi" w:hAnsiTheme="minorHAnsi" w:cstheme="minorHAnsi"/>
                <w:sz w:val="16"/>
                <w:szCs w:val="16"/>
              </w:rPr>
              <w:t xml:space="preserve"> (2018-2020)</w:t>
            </w:r>
          </w:p>
        </w:tc>
        <w:tc>
          <w:tcPr>
            <w:tcW w:w="838" w:type="pct"/>
            <w:vAlign w:val="center"/>
          </w:tcPr>
          <w:p w14:paraId="3C0DB7A0" w14:textId="099A0A3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Broj smještajnih kapaciteta u 2020. godini povećan za 20% u odnosu na 2017. godinu</w:t>
            </w:r>
            <w:r w:rsidRPr="00D23213">
              <w:rPr>
                <w:rFonts w:asciiTheme="minorHAnsi" w:hAnsiTheme="minorHAnsi" w:cstheme="minorHAnsi"/>
                <w:sz w:val="16"/>
                <w:szCs w:val="16"/>
              </w:rPr>
              <w:br/>
              <w:t>Najmanje X projekata implementiranih u partnerstvu</w:t>
            </w:r>
            <w:r w:rsidRPr="00D23213">
              <w:rPr>
                <w:rFonts w:asciiTheme="minorHAnsi" w:hAnsiTheme="minorHAnsi" w:cstheme="minorHAnsi"/>
                <w:sz w:val="16"/>
                <w:szCs w:val="16"/>
              </w:rPr>
              <w:br/>
              <w:t>Najmanje X operatera koji su uvrstili turističku ponudu opštine Prnjavor u svoje turističke pakete/ponudu</w:t>
            </w:r>
            <w:r w:rsidRPr="00D23213">
              <w:rPr>
                <w:rFonts w:asciiTheme="minorHAnsi" w:hAnsiTheme="minorHAnsi" w:cstheme="minorHAnsi"/>
                <w:sz w:val="16"/>
                <w:szCs w:val="16"/>
              </w:rPr>
              <w:br/>
              <w:t>Turistički potencijali promovisani na najmanje 5 događaja/sajmova do 2021.</w:t>
            </w:r>
          </w:p>
        </w:tc>
        <w:tc>
          <w:tcPr>
            <w:tcW w:w="503" w:type="pct"/>
            <w:vAlign w:val="center"/>
          </w:tcPr>
          <w:p w14:paraId="754A5807" w14:textId="7585E26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50,000</w:t>
            </w:r>
          </w:p>
        </w:tc>
        <w:tc>
          <w:tcPr>
            <w:tcW w:w="279" w:type="pct"/>
            <w:vAlign w:val="center"/>
          </w:tcPr>
          <w:p w14:paraId="401FFBC1" w14:textId="644E7CD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w:t>
            </w:r>
          </w:p>
        </w:tc>
        <w:tc>
          <w:tcPr>
            <w:tcW w:w="280" w:type="pct"/>
            <w:vAlign w:val="center"/>
          </w:tcPr>
          <w:p w14:paraId="2609F4A8" w14:textId="3219190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w:t>
            </w:r>
          </w:p>
        </w:tc>
        <w:tc>
          <w:tcPr>
            <w:tcW w:w="280" w:type="pct"/>
            <w:vAlign w:val="center"/>
          </w:tcPr>
          <w:p w14:paraId="66FB86D4" w14:textId="07E20D3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w:t>
            </w:r>
          </w:p>
        </w:tc>
        <w:tc>
          <w:tcPr>
            <w:tcW w:w="280" w:type="pct"/>
            <w:vAlign w:val="center"/>
          </w:tcPr>
          <w:p w14:paraId="5A705CE3" w14:textId="0621D17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30,000</w:t>
            </w:r>
          </w:p>
        </w:tc>
        <w:tc>
          <w:tcPr>
            <w:tcW w:w="224" w:type="pct"/>
            <w:vAlign w:val="center"/>
          </w:tcPr>
          <w:p w14:paraId="23A8638F" w14:textId="454CD50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w:t>
            </w:r>
          </w:p>
        </w:tc>
        <w:tc>
          <w:tcPr>
            <w:tcW w:w="168" w:type="pct"/>
            <w:vAlign w:val="center"/>
          </w:tcPr>
          <w:p w14:paraId="0E00186E" w14:textId="2F967A4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5,000</w:t>
            </w:r>
          </w:p>
        </w:tc>
        <w:tc>
          <w:tcPr>
            <w:tcW w:w="167" w:type="pct"/>
            <w:vAlign w:val="center"/>
          </w:tcPr>
          <w:p w14:paraId="34B5DF45" w14:textId="3ADE3A8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5,000</w:t>
            </w:r>
          </w:p>
        </w:tc>
        <w:tc>
          <w:tcPr>
            <w:tcW w:w="226" w:type="pct"/>
            <w:vAlign w:val="center"/>
          </w:tcPr>
          <w:p w14:paraId="40433375" w14:textId="7A7932F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20,000</w:t>
            </w:r>
          </w:p>
        </w:tc>
        <w:tc>
          <w:tcPr>
            <w:tcW w:w="224" w:type="pct"/>
            <w:vAlign w:val="center"/>
          </w:tcPr>
          <w:p w14:paraId="6D19DDBA" w14:textId="704B352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145C1AB0" w14:textId="1042A6A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415200 - Sredstva za implementacijui sufinansiranje projekata predviđenih Strategijom razvoja opštine Prnjavor za period 2012-2020. godina</w:t>
            </w:r>
          </w:p>
        </w:tc>
        <w:tc>
          <w:tcPr>
            <w:tcW w:w="363" w:type="pct"/>
            <w:vAlign w:val="center"/>
          </w:tcPr>
          <w:p w14:paraId="2C789DFE" w14:textId="6800492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lokalni ekonomski razvoj i društvene djelatnosti</w:t>
            </w:r>
          </w:p>
        </w:tc>
      </w:tr>
      <w:tr w:rsidR="00D23213" w:rsidRPr="00D23213" w14:paraId="08F12704" w14:textId="77777777" w:rsidTr="008A4A03">
        <w:trPr>
          <w:trHeight w:val="64"/>
        </w:trPr>
        <w:tc>
          <w:tcPr>
            <w:tcW w:w="211" w:type="pct"/>
            <w:textDirection w:val="btLr"/>
            <w:vAlign w:val="center"/>
          </w:tcPr>
          <w:p w14:paraId="51538C97" w14:textId="2C4B52C6"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2/Sec 2.1</w:t>
            </w:r>
          </w:p>
        </w:tc>
        <w:tc>
          <w:tcPr>
            <w:tcW w:w="626" w:type="pct"/>
            <w:vAlign w:val="center"/>
          </w:tcPr>
          <w:p w14:paraId="0D45544D" w14:textId="60B3492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Izgradnja prioritetne putne mreže i saobraćajne infrastrukture (2018-2020)</w:t>
            </w:r>
          </w:p>
        </w:tc>
        <w:tc>
          <w:tcPr>
            <w:tcW w:w="838" w:type="pct"/>
            <w:vAlign w:val="center"/>
          </w:tcPr>
          <w:p w14:paraId="37BFC07A" w14:textId="590B159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Poboljšana saobraćajna infrastruktura za X građana</w:t>
            </w:r>
            <w:r w:rsidRPr="00D23213">
              <w:rPr>
                <w:rFonts w:asciiTheme="minorHAnsi" w:hAnsiTheme="minorHAnsi" w:cstheme="minorHAnsi"/>
                <w:sz w:val="16"/>
                <w:szCs w:val="16"/>
              </w:rPr>
              <w:br/>
              <w:t>Najmanje 75% domaćinstava ima direktan pristup asfaltiranim saobraćajnicama do 2020.</w:t>
            </w:r>
          </w:p>
        </w:tc>
        <w:tc>
          <w:tcPr>
            <w:tcW w:w="503" w:type="pct"/>
            <w:vAlign w:val="center"/>
          </w:tcPr>
          <w:p w14:paraId="5247CC21" w14:textId="1949392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3,000,000</w:t>
            </w:r>
          </w:p>
        </w:tc>
        <w:tc>
          <w:tcPr>
            <w:tcW w:w="279" w:type="pct"/>
            <w:vAlign w:val="center"/>
          </w:tcPr>
          <w:p w14:paraId="276EF697" w14:textId="5A6EB8C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600,000</w:t>
            </w:r>
          </w:p>
        </w:tc>
        <w:tc>
          <w:tcPr>
            <w:tcW w:w="280" w:type="pct"/>
            <w:vAlign w:val="center"/>
          </w:tcPr>
          <w:p w14:paraId="66F6C835" w14:textId="64B444C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900,000</w:t>
            </w:r>
          </w:p>
        </w:tc>
        <w:tc>
          <w:tcPr>
            <w:tcW w:w="280" w:type="pct"/>
            <w:vAlign w:val="center"/>
          </w:tcPr>
          <w:p w14:paraId="246B92CA" w14:textId="72BF318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900,000</w:t>
            </w:r>
          </w:p>
        </w:tc>
        <w:tc>
          <w:tcPr>
            <w:tcW w:w="280" w:type="pct"/>
            <w:vAlign w:val="center"/>
          </w:tcPr>
          <w:p w14:paraId="4DEB1AAF" w14:textId="2BDBDA7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2,400,000</w:t>
            </w:r>
          </w:p>
        </w:tc>
        <w:tc>
          <w:tcPr>
            <w:tcW w:w="224" w:type="pct"/>
            <w:vAlign w:val="center"/>
          </w:tcPr>
          <w:p w14:paraId="4F6B9A78" w14:textId="16A56F0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400,000</w:t>
            </w:r>
          </w:p>
        </w:tc>
        <w:tc>
          <w:tcPr>
            <w:tcW w:w="168" w:type="pct"/>
            <w:vAlign w:val="center"/>
          </w:tcPr>
          <w:p w14:paraId="6E11C0D6" w14:textId="63A1EB1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100,000</w:t>
            </w:r>
          </w:p>
        </w:tc>
        <w:tc>
          <w:tcPr>
            <w:tcW w:w="167" w:type="pct"/>
            <w:vAlign w:val="center"/>
          </w:tcPr>
          <w:p w14:paraId="3A1FCA61" w14:textId="55C5838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100,000</w:t>
            </w:r>
          </w:p>
        </w:tc>
        <w:tc>
          <w:tcPr>
            <w:tcW w:w="226" w:type="pct"/>
            <w:vAlign w:val="center"/>
          </w:tcPr>
          <w:p w14:paraId="70A3AFCC" w14:textId="1553197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600,000</w:t>
            </w:r>
          </w:p>
        </w:tc>
        <w:tc>
          <w:tcPr>
            <w:tcW w:w="224" w:type="pct"/>
            <w:vAlign w:val="center"/>
          </w:tcPr>
          <w:p w14:paraId="529C06AA" w14:textId="6E0454D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 Putevi RS</w:t>
            </w:r>
          </w:p>
        </w:tc>
        <w:tc>
          <w:tcPr>
            <w:tcW w:w="331" w:type="pct"/>
            <w:vAlign w:val="center"/>
          </w:tcPr>
          <w:p w14:paraId="46B894C7" w14:textId="37384C0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511200- Izgradnja i rekonstrukcija gradskih ulica, putne i kanalizacione mreže, školskih i drugih objekata...       415200- Nabavka građevin</w:t>
            </w:r>
            <w:r w:rsidRPr="00D23213">
              <w:rPr>
                <w:rFonts w:asciiTheme="minorHAnsi" w:hAnsiTheme="minorHAnsi" w:cstheme="minorHAnsi"/>
                <w:sz w:val="16"/>
                <w:szCs w:val="16"/>
              </w:rPr>
              <w:lastRenderedPageBreak/>
              <w:t>skog materijala za izgradnju propusta, mostova i drugih objekata i 415200- Troškovi održavanja lokalne putne mreže</w:t>
            </w:r>
          </w:p>
        </w:tc>
        <w:tc>
          <w:tcPr>
            <w:tcW w:w="363" w:type="pct"/>
            <w:vAlign w:val="center"/>
          </w:tcPr>
          <w:p w14:paraId="32307B26" w14:textId="05C93C6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lastRenderedPageBreak/>
              <w:t>Odjeljenje za stambeno-komunalne poslove i investicije</w:t>
            </w:r>
          </w:p>
        </w:tc>
      </w:tr>
      <w:tr w:rsidR="00D23213" w:rsidRPr="00D23213" w14:paraId="021453EE" w14:textId="77777777" w:rsidTr="008A4A03">
        <w:trPr>
          <w:trHeight w:val="64"/>
        </w:trPr>
        <w:tc>
          <w:tcPr>
            <w:tcW w:w="211" w:type="pct"/>
            <w:textDirection w:val="btLr"/>
            <w:vAlign w:val="center"/>
          </w:tcPr>
          <w:p w14:paraId="34C5C2D9" w14:textId="2923209B"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2/Sec 2.1</w:t>
            </w:r>
          </w:p>
        </w:tc>
        <w:tc>
          <w:tcPr>
            <w:tcW w:w="626" w:type="pct"/>
            <w:vAlign w:val="center"/>
          </w:tcPr>
          <w:p w14:paraId="21D0C112" w14:textId="43A6A90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Izgradnja prioritetne vodovodne mreže (2018-2020)</w:t>
            </w:r>
          </w:p>
        </w:tc>
        <w:tc>
          <w:tcPr>
            <w:tcW w:w="838" w:type="pct"/>
            <w:vAlign w:val="center"/>
          </w:tcPr>
          <w:p w14:paraId="608B98E4" w14:textId="6BB07A9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Poboljšano snabdijevanje vodom za X građana / u naseljima</w:t>
            </w:r>
          </w:p>
        </w:tc>
        <w:tc>
          <w:tcPr>
            <w:tcW w:w="503" w:type="pct"/>
            <w:vAlign w:val="center"/>
          </w:tcPr>
          <w:p w14:paraId="66755C5C" w14:textId="6C5CD4E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1,500,000</w:t>
            </w:r>
          </w:p>
        </w:tc>
        <w:tc>
          <w:tcPr>
            <w:tcW w:w="279" w:type="pct"/>
            <w:vAlign w:val="center"/>
          </w:tcPr>
          <w:p w14:paraId="3F652717" w14:textId="2C58D99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250,000</w:t>
            </w:r>
          </w:p>
        </w:tc>
        <w:tc>
          <w:tcPr>
            <w:tcW w:w="280" w:type="pct"/>
            <w:vAlign w:val="center"/>
          </w:tcPr>
          <w:p w14:paraId="269965E3" w14:textId="679FCE2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250,000</w:t>
            </w:r>
          </w:p>
        </w:tc>
        <w:tc>
          <w:tcPr>
            <w:tcW w:w="280" w:type="pct"/>
            <w:vAlign w:val="center"/>
          </w:tcPr>
          <w:p w14:paraId="65E688B5" w14:textId="78B430F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250,000</w:t>
            </w:r>
          </w:p>
        </w:tc>
        <w:tc>
          <w:tcPr>
            <w:tcW w:w="280" w:type="pct"/>
            <w:vAlign w:val="center"/>
          </w:tcPr>
          <w:p w14:paraId="58178063" w14:textId="33C65CA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750,000</w:t>
            </w:r>
          </w:p>
        </w:tc>
        <w:tc>
          <w:tcPr>
            <w:tcW w:w="224" w:type="pct"/>
            <w:vAlign w:val="center"/>
          </w:tcPr>
          <w:p w14:paraId="18A540BE" w14:textId="30050B7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250,000</w:t>
            </w:r>
          </w:p>
        </w:tc>
        <w:tc>
          <w:tcPr>
            <w:tcW w:w="168" w:type="pct"/>
            <w:vAlign w:val="center"/>
          </w:tcPr>
          <w:p w14:paraId="16B16648" w14:textId="4C961CF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250,000</w:t>
            </w:r>
          </w:p>
        </w:tc>
        <w:tc>
          <w:tcPr>
            <w:tcW w:w="167" w:type="pct"/>
            <w:vAlign w:val="center"/>
          </w:tcPr>
          <w:p w14:paraId="2EADA6E8" w14:textId="35E1FAC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250,000</w:t>
            </w:r>
          </w:p>
        </w:tc>
        <w:tc>
          <w:tcPr>
            <w:tcW w:w="226" w:type="pct"/>
            <w:vAlign w:val="center"/>
          </w:tcPr>
          <w:p w14:paraId="56E8E873" w14:textId="395FB13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750,000</w:t>
            </w:r>
          </w:p>
        </w:tc>
        <w:tc>
          <w:tcPr>
            <w:tcW w:w="224" w:type="pct"/>
            <w:vAlign w:val="center"/>
          </w:tcPr>
          <w:p w14:paraId="402A5945" w14:textId="141EF41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33AF8F92" w14:textId="0285EFF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511100- Izgradnja vodosistema na području opštine, KP Vodovod a.d. Prnjavor, UNDP</w:t>
            </w:r>
          </w:p>
        </w:tc>
        <w:tc>
          <w:tcPr>
            <w:tcW w:w="363" w:type="pct"/>
            <w:vAlign w:val="center"/>
          </w:tcPr>
          <w:p w14:paraId="7123B644" w14:textId="6752BA2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stambeno-komunalne poslove i investicije</w:t>
            </w:r>
          </w:p>
        </w:tc>
      </w:tr>
      <w:tr w:rsidR="00D23213" w:rsidRPr="00D23213" w14:paraId="420B86B5" w14:textId="77777777" w:rsidTr="008A4A03">
        <w:trPr>
          <w:trHeight w:val="64"/>
        </w:trPr>
        <w:tc>
          <w:tcPr>
            <w:tcW w:w="211" w:type="pct"/>
            <w:textDirection w:val="btLr"/>
            <w:vAlign w:val="center"/>
          </w:tcPr>
          <w:p w14:paraId="182A8CB7" w14:textId="40601268"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2/Sec 2.1</w:t>
            </w:r>
          </w:p>
        </w:tc>
        <w:tc>
          <w:tcPr>
            <w:tcW w:w="626" w:type="pct"/>
            <w:vAlign w:val="center"/>
          </w:tcPr>
          <w:p w14:paraId="336509F8" w14:textId="40AF090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Izgradnja prioritetne kanalizacione mreže (2018-2020)</w:t>
            </w:r>
          </w:p>
        </w:tc>
        <w:tc>
          <w:tcPr>
            <w:tcW w:w="838" w:type="pct"/>
            <w:vAlign w:val="center"/>
          </w:tcPr>
          <w:p w14:paraId="463C3F7E" w14:textId="15FB3FC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Unapređena kanalizaciona mreža u prioritetnim lokalitetima do 2020. godine (Sliv potoka Radulovac)</w:t>
            </w:r>
          </w:p>
        </w:tc>
        <w:tc>
          <w:tcPr>
            <w:tcW w:w="503" w:type="pct"/>
            <w:vAlign w:val="center"/>
          </w:tcPr>
          <w:p w14:paraId="105C9ACB" w14:textId="62CB233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1,600,000</w:t>
            </w:r>
          </w:p>
        </w:tc>
        <w:tc>
          <w:tcPr>
            <w:tcW w:w="279" w:type="pct"/>
            <w:vAlign w:val="center"/>
          </w:tcPr>
          <w:p w14:paraId="4BAB254D" w14:textId="5BDE2B7E"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80" w:type="pct"/>
            <w:vAlign w:val="center"/>
          </w:tcPr>
          <w:p w14:paraId="7FC2E6B7" w14:textId="13DB1293"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280" w:type="pct"/>
            <w:vAlign w:val="center"/>
          </w:tcPr>
          <w:p w14:paraId="731A0253" w14:textId="244CDF4E"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280" w:type="pct"/>
            <w:vAlign w:val="center"/>
          </w:tcPr>
          <w:p w14:paraId="47D81021" w14:textId="038FA5A7"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46EFA412" w14:textId="271D5E0C"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168" w:type="pct"/>
            <w:vAlign w:val="center"/>
          </w:tcPr>
          <w:p w14:paraId="72761775" w14:textId="3961F46E"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167" w:type="pct"/>
            <w:vAlign w:val="center"/>
          </w:tcPr>
          <w:p w14:paraId="376EEA4D" w14:textId="12C76A41"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226" w:type="pct"/>
            <w:vAlign w:val="center"/>
          </w:tcPr>
          <w:p w14:paraId="351F5D1F" w14:textId="1B308C9A"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0F443D3D" w14:textId="6BBB6C1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47EE11DF" w14:textId="102D9E1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xml:space="preserve">511200- Izgradnja i rekonstrukcija gradskih ulica, putne i kanalizacione mreže, školskih i drugih objekata...   </w:t>
            </w:r>
          </w:p>
        </w:tc>
        <w:tc>
          <w:tcPr>
            <w:tcW w:w="363" w:type="pct"/>
            <w:vAlign w:val="center"/>
          </w:tcPr>
          <w:p w14:paraId="13306125" w14:textId="4117CBE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stambeno-komunalne poslove i investicije</w:t>
            </w:r>
          </w:p>
        </w:tc>
      </w:tr>
      <w:tr w:rsidR="00D23213" w:rsidRPr="00D23213" w14:paraId="73730D2D" w14:textId="77777777" w:rsidTr="008A4A03">
        <w:trPr>
          <w:trHeight w:val="64"/>
        </w:trPr>
        <w:tc>
          <w:tcPr>
            <w:tcW w:w="211" w:type="pct"/>
            <w:textDirection w:val="btLr"/>
            <w:vAlign w:val="center"/>
          </w:tcPr>
          <w:p w14:paraId="1BAF3AB7" w14:textId="2611DD7A"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2/Sec 2.1</w:t>
            </w:r>
          </w:p>
        </w:tc>
        <w:tc>
          <w:tcPr>
            <w:tcW w:w="626" w:type="pct"/>
            <w:vAlign w:val="center"/>
          </w:tcPr>
          <w:p w14:paraId="2C6C3362" w14:textId="166A608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Rekonstrukcija prioritetne niskonaponske elektromreže (2018-2020)</w:t>
            </w:r>
          </w:p>
        </w:tc>
        <w:tc>
          <w:tcPr>
            <w:tcW w:w="838" w:type="pct"/>
            <w:vAlign w:val="center"/>
          </w:tcPr>
          <w:p w14:paraId="4DFBF338" w14:textId="0A05A7E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Poboljšano snabdijevanje el. energijom u naseljima ...</w:t>
            </w:r>
            <w:r w:rsidRPr="00D23213">
              <w:rPr>
                <w:rFonts w:asciiTheme="minorHAnsi" w:hAnsiTheme="minorHAnsi" w:cstheme="minorHAnsi"/>
                <w:sz w:val="16"/>
                <w:szCs w:val="16"/>
              </w:rPr>
              <w:br/>
              <w:t>Instalirana trafo-stanica Prnjavor 2 u poslovnoj zoni</w:t>
            </w:r>
          </w:p>
        </w:tc>
        <w:tc>
          <w:tcPr>
            <w:tcW w:w="503" w:type="pct"/>
            <w:vAlign w:val="center"/>
          </w:tcPr>
          <w:p w14:paraId="55AE8329" w14:textId="1608389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1,950,000</w:t>
            </w:r>
          </w:p>
        </w:tc>
        <w:tc>
          <w:tcPr>
            <w:tcW w:w="279" w:type="pct"/>
            <w:vAlign w:val="center"/>
          </w:tcPr>
          <w:p w14:paraId="22EA913D" w14:textId="0A87F53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1BD2A6BB" w14:textId="0FDDF81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7B53180A" w14:textId="0B071E8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3DCE3C1B" w14:textId="5D8EA49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2BE4B70B" w14:textId="308EB91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1,000,000</w:t>
            </w:r>
          </w:p>
        </w:tc>
        <w:tc>
          <w:tcPr>
            <w:tcW w:w="168" w:type="pct"/>
            <w:vAlign w:val="center"/>
          </w:tcPr>
          <w:p w14:paraId="004EF5AB" w14:textId="6E5EF28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500,000</w:t>
            </w:r>
          </w:p>
        </w:tc>
        <w:tc>
          <w:tcPr>
            <w:tcW w:w="167" w:type="pct"/>
            <w:vAlign w:val="center"/>
          </w:tcPr>
          <w:p w14:paraId="70335E56" w14:textId="4B8B231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450,000</w:t>
            </w:r>
          </w:p>
        </w:tc>
        <w:tc>
          <w:tcPr>
            <w:tcW w:w="226" w:type="pct"/>
            <w:vAlign w:val="center"/>
          </w:tcPr>
          <w:p w14:paraId="7DB6F271" w14:textId="33CD577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1,950,000</w:t>
            </w:r>
          </w:p>
        </w:tc>
        <w:tc>
          <w:tcPr>
            <w:tcW w:w="224" w:type="pct"/>
            <w:vAlign w:val="center"/>
          </w:tcPr>
          <w:p w14:paraId="6E7FC22C" w14:textId="48F7139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Elektrodistribucija Prnjavor</w:t>
            </w:r>
          </w:p>
        </w:tc>
        <w:tc>
          <w:tcPr>
            <w:tcW w:w="331" w:type="pct"/>
            <w:vAlign w:val="center"/>
          </w:tcPr>
          <w:p w14:paraId="36490C31" w14:textId="49B6A50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Elektrodistribucija</w:t>
            </w:r>
          </w:p>
        </w:tc>
        <w:tc>
          <w:tcPr>
            <w:tcW w:w="363" w:type="pct"/>
            <w:vAlign w:val="center"/>
          </w:tcPr>
          <w:p w14:paraId="2B659788" w14:textId="7EE5C0F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stambeno-komunalne poslove i investicije</w:t>
            </w:r>
          </w:p>
        </w:tc>
      </w:tr>
      <w:tr w:rsidR="00D23213" w:rsidRPr="00D23213" w14:paraId="37174F30" w14:textId="77777777" w:rsidTr="008A4A03">
        <w:trPr>
          <w:trHeight w:val="64"/>
        </w:trPr>
        <w:tc>
          <w:tcPr>
            <w:tcW w:w="211" w:type="pct"/>
            <w:textDirection w:val="btLr"/>
            <w:vAlign w:val="center"/>
          </w:tcPr>
          <w:p w14:paraId="2D06D2F2" w14:textId="546FDE9B"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lastRenderedPageBreak/>
              <w:t>SC 2/Sec 2.1</w:t>
            </w:r>
          </w:p>
        </w:tc>
        <w:tc>
          <w:tcPr>
            <w:tcW w:w="626" w:type="pct"/>
            <w:vAlign w:val="center"/>
          </w:tcPr>
          <w:p w14:paraId="79D74702" w14:textId="62BBD3C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Sanacija klizišta na području opštine u skladu sa prioritetima (2018-2020)</w:t>
            </w:r>
          </w:p>
        </w:tc>
        <w:tc>
          <w:tcPr>
            <w:tcW w:w="838" w:type="pct"/>
            <w:vAlign w:val="center"/>
          </w:tcPr>
          <w:p w14:paraId="52CC014D" w14:textId="5AB8293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xml:space="preserve">Smanjen broj klizišta na području opštine za X </w:t>
            </w:r>
          </w:p>
        </w:tc>
        <w:tc>
          <w:tcPr>
            <w:tcW w:w="503" w:type="pct"/>
            <w:vAlign w:val="center"/>
          </w:tcPr>
          <w:p w14:paraId="775ABE43" w14:textId="6613395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300,000</w:t>
            </w:r>
          </w:p>
        </w:tc>
        <w:tc>
          <w:tcPr>
            <w:tcW w:w="279" w:type="pct"/>
            <w:vAlign w:val="center"/>
          </w:tcPr>
          <w:p w14:paraId="6F4201A1" w14:textId="444D526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100,000</w:t>
            </w:r>
          </w:p>
        </w:tc>
        <w:tc>
          <w:tcPr>
            <w:tcW w:w="280" w:type="pct"/>
            <w:vAlign w:val="center"/>
          </w:tcPr>
          <w:p w14:paraId="52456FE7" w14:textId="65601F6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100,000</w:t>
            </w:r>
          </w:p>
        </w:tc>
        <w:tc>
          <w:tcPr>
            <w:tcW w:w="280" w:type="pct"/>
            <w:vAlign w:val="center"/>
          </w:tcPr>
          <w:p w14:paraId="4CE2D8D8" w14:textId="33A26DC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100,000</w:t>
            </w:r>
          </w:p>
        </w:tc>
        <w:tc>
          <w:tcPr>
            <w:tcW w:w="280" w:type="pct"/>
            <w:vAlign w:val="center"/>
          </w:tcPr>
          <w:p w14:paraId="35A5ADD6" w14:textId="795ACC6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300,000</w:t>
            </w:r>
          </w:p>
        </w:tc>
        <w:tc>
          <w:tcPr>
            <w:tcW w:w="224" w:type="pct"/>
            <w:vAlign w:val="center"/>
          </w:tcPr>
          <w:p w14:paraId="300ABCA4" w14:textId="67A10F4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168" w:type="pct"/>
            <w:vAlign w:val="center"/>
          </w:tcPr>
          <w:p w14:paraId="26F3A783" w14:textId="32A21B7F" w:rsidR="0013614F" w:rsidRPr="00D23213" w:rsidRDefault="00B308B6"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r w:rsidR="0013614F" w:rsidRPr="00D23213">
              <w:rPr>
                <w:rFonts w:asciiTheme="minorHAnsi" w:hAnsiTheme="minorHAnsi" w:cstheme="minorHAnsi"/>
                <w:sz w:val="16"/>
                <w:szCs w:val="16"/>
              </w:rPr>
              <w:t> </w:t>
            </w:r>
          </w:p>
        </w:tc>
        <w:tc>
          <w:tcPr>
            <w:tcW w:w="167" w:type="pct"/>
            <w:vAlign w:val="center"/>
          </w:tcPr>
          <w:p w14:paraId="6C6E0E73" w14:textId="102376A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26" w:type="pct"/>
            <w:vAlign w:val="center"/>
          </w:tcPr>
          <w:p w14:paraId="552D4504" w14:textId="2605CEC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44BD9261" w14:textId="4F2922F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31" w:type="pct"/>
            <w:vAlign w:val="center"/>
          </w:tcPr>
          <w:p w14:paraId="37A56A9B" w14:textId="782E559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63" w:type="pct"/>
            <w:vAlign w:val="center"/>
          </w:tcPr>
          <w:p w14:paraId="5FF78E34" w14:textId="249633C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r>
      <w:tr w:rsidR="00D23213" w:rsidRPr="00D23213" w14:paraId="234616EE" w14:textId="77777777" w:rsidTr="008A4A03">
        <w:trPr>
          <w:trHeight w:val="64"/>
        </w:trPr>
        <w:tc>
          <w:tcPr>
            <w:tcW w:w="211" w:type="pct"/>
            <w:textDirection w:val="btLr"/>
            <w:vAlign w:val="center"/>
          </w:tcPr>
          <w:p w14:paraId="21E421DD" w14:textId="0A8AB3B1"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2/Sec 2.2</w:t>
            </w:r>
          </w:p>
        </w:tc>
        <w:tc>
          <w:tcPr>
            <w:tcW w:w="626" w:type="pct"/>
            <w:vAlign w:val="center"/>
          </w:tcPr>
          <w:p w14:paraId="47F3E0BE" w14:textId="061C49E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Festival nacionalnih manjina opštine Prnjavor Mala Evropa (2018-2020)</w:t>
            </w:r>
          </w:p>
        </w:tc>
        <w:tc>
          <w:tcPr>
            <w:tcW w:w="838" w:type="pct"/>
            <w:vAlign w:val="center"/>
          </w:tcPr>
          <w:p w14:paraId="7201C179" w14:textId="064C943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Najmanje 200 učesnika iz najmanje 5 zemalja</w:t>
            </w:r>
            <w:r w:rsidRPr="00D23213">
              <w:rPr>
                <w:rFonts w:asciiTheme="minorHAnsi" w:hAnsiTheme="minorHAnsi" w:cstheme="minorHAnsi"/>
                <w:sz w:val="16"/>
                <w:szCs w:val="16"/>
              </w:rPr>
              <w:br/>
              <w:t>Najmanje 500 posjetilaca</w:t>
            </w:r>
          </w:p>
        </w:tc>
        <w:tc>
          <w:tcPr>
            <w:tcW w:w="503" w:type="pct"/>
            <w:vAlign w:val="center"/>
          </w:tcPr>
          <w:p w14:paraId="486820BD" w14:textId="42DDCAC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30,000</w:t>
            </w:r>
          </w:p>
        </w:tc>
        <w:tc>
          <w:tcPr>
            <w:tcW w:w="279" w:type="pct"/>
            <w:vAlign w:val="center"/>
          </w:tcPr>
          <w:p w14:paraId="5DBCCE25" w14:textId="2B5F719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w:t>
            </w:r>
          </w:p>
        </w:tc>
        <w:tc>
          <w:tcPr>
            <w:tcW w:w="280" w:type="pct"/>
            <w:vAlign w:val="center"/>
          </w:tcPr>
          <w:p w14:paraId="2F3D5954" w14:textId="07958B4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w:t>
            </w:r>
          </w:p>
        </w:tc>
        <w:tc>
          <w:tcPr>
            <w:tcW w:w="280" w:type="pct"/>
            <w:vAlign w:val="center"/>
          </w:tcPr>
          <w:p w14:paraId="5F98B6F8" w14:textId="0F0D832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w:t>
            </w:r>
          </w:p>
        </w:tc>
        <w:tc>
          <w:tcPr>
            <w:tcW w:w="280" w:type="pct"/>
            <w:vAlign w:val="center"/>
          </w:tcPr>
          <w:p w14:paraId="00B01E91" w14:textId="146C5C6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30,000</w:t>
            </w:r>
          </w:p>
        </w:tc>
        <w:tc>
          <w:tcPr>
            <w:tcW w:w="224" w:type="pct"/>
            <w:vAlign w:val="center"/>
          </w:tcPr>
          <w:p w14:paraId="7F914550" w14:textId="47DA9CB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168" w:type="pct"/>
            <w:vAlign w:val="center"/>
          </w:tcPr>
          <w:p w14:paraId="031D0774" w14:textId="2117CF8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167" w:type="pct"/>
            <w:vAlign w:val="center"/>
          </w:tcPr>
          <w:p w14:paraId="0BB38FB0" w14:textId="39FEEC6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26" w:type="pct"/>
            <w:vAlign w:val="center"/>
          </w:tcPr>
          <w:p w14:paraId="029BFC4E" w14:textId="5FF58E3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352AEAA2" w14:textId="314C726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4A781D2D" w14:textId="5CCE3DA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415200- Sredstva za održavanje Festivala nacionalnih manjina Mala Evropa Prnjavor</w:t>
            </w:r>
          </w:p>
        </w:tc>
        <w:tc>
          <w:tcPr>
            <w:tcW w:w="363" w:type="pct"/>
            <w:vAlign w:val="center"/>
          </w:tcPr>
          <w:p w14:paraId="7D042681" w14:textId="6F1FEDC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LER i društvene djelatnosti</w:t>
            </w:r>
          </w:p>
        </w:tc>
      </w:tr>
      <w:tr w:rsidR="00D23213" w:rsidRPr="00D23213" w14:paraId="023FE9D5" w14:textId="77777777" w:rsidTr="008A4A03">
        <w:trPr>
          <w:trHeight w:val="64"/>
        </w:trPr>
        <w:tc>
          <w:tcPr>
            <w:tcW w:w="211" w:type="pct"/>
            <w:textDirection w:val="btLr"/>
            <w:vAlign w:val="center"/>
          </w:tcPr>
          <w:p w14:paraId="201594F5" w14:textId="51B93039"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2/Sec 2.2</w:t>
            </w:r>
          </w:p>
        </w:tc>
        <w:tc>
          <w:tcPr>
            <w:tcW w:w="626" w:type="pct"/>
            <w:vAlign w:val="center"/>
          </w:tcPr>
          <w:p w14:paraId="77002F4D" w14:textId="487BE52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Mjera: Podrška održavanju tradicionalnih manifestacija u ruralnim područjima  (2018-2020)</w:t>
            </w:r>
          </w:p>
        </w:tc>
        <w:tc>
          <w:tcPr>
            <w:tcW w:w="838" w:type="pct"/>
            <w:vAlign w:val="center"/>
          </w:tcPr>
          <w:p w14:paraId="5D2394EE" w14:textId="5413F3D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Najmanje 50 učesnika tradicionalnih manifestacija u ruralnim područjima</w:t>
            </w:r>
            <w:r w:rsidRPr="00D23213">
              <w:rPr>
                <w:rFonts w:asciiTheme="minorHAnsi" w:hAnsiTheme="minorHAnsi" w:cstheme="minorHAnsi"/>
                <w:sz w:val="16"/>
                <w:szCs w:val="16"/>
              </w:rPr>
              <w:br/>
              <w:t>Najmanje 100 posjetilaca/gledalaca</w:t>
            </w:r>
          </w:p>
        </w:tc>
        <w:tc>
          <w:tcPr>
            <w:tcW w:w="503" w:type="pct"/>
            <w:vAlign w:val="center"/>
          </w:tcPr>
          <w:p w14:paraId="39156752" w14:textId="1C7D9E8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105,000</w:t>
            </w:r>
          </w:p>
        </w:tc>
        <w:tc>
          <w:tcPr>
            <w:tcW w:w="279" w:type="pct"/>
            <w:vAlign w:val="center"/>
          </w:tcPr>
          <w:p w14:paraId="05298E1C" w14:textId="1C20FBD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35,000</w:t>
            </w:r>
          </w:p>
        </w:tc>
        <w:tc>
          <w:tcPr>
            <w:tcW w:w="280" w:type="pct"/>
            <w:vAlign w:val="center"/>
          </w:tcPr>
          <w:p w14:paraId="263D6911" w14:textId="386916B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35,000</w:t>
            </w:r>
          </w:p>
        </w:tc>
        <w:tc>
          <w:tcPr>
            <w:tcW w:w="280" w:type="pct"/>
            <w:vAlign w:val="center"/>
          </w:tcPr>
          <w:p w14:paraId="1CF4810D" w14:textId="3299D84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35,000</w:t>
            </w:r>
          </w:p>
        </w:tc>
        <w:tc>
          <w:tcPr>
            <w:tcW w:w="280" w:type="pct"/>
            <w:vAlign w:val="center"/>
          </w:tcPr>
          <w:p w14:paraId="6B079B53" w14:textId="530BF00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105,000</w:t>
            </w:r>
          </w:p>
        </w:tc>
        <w:tc>
          <w:tcPr>
            <w:tcW w:w="224" w:type="pct"/>
            <w:vAlign w:val="center"/>
          </w:tcPr>
          <w:p w14:paraId="1DDEA38F" w14:textId="6A5EE27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168" w:type="pct"/>
            <w:vAlign w:val="center"/>
          </w:tcPr>
          <w:p w14:paraId="4395DAA9" w14:textId="79B36C43" w:rsidR="0013614F" w:rsidRPr="00D23213" w:rsidRDefault="0013614F" w:rsidP="00B308B6">
            <w:pPr>
              <w:rPr>
                <w:rFonts w:asciiTheme="minorHAnsi" w:hAnsiTheme="minorHAnsi" w:cstheme="minorHAnsi"/>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lang w:val="bs-Latn-BA"/>
              </w:rPr>
              <w:t>0</w:t>
            </w:r>
          </w:p>
        </w:tc>
        <w:tc>
          <w:tcPr>
            <w:tcW w:w="167" w:type="pct"/>
            <w:vAlign w:val="center"/>
          </w:tcPr>
          <w:p w14:paraId="78D884E2" w14:textId="1B55D46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226" w:type="pct"/>
            <w:vAlign w:val="center"/>
          </w:tcPr>
          <w:p w14:paraId="256ED527" w14:textId="46C223E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27F412B6" w14:textId="36F201C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597E85EA" w14:textId="7D39F26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415200 - Sredstva za organizovanje parastosa poginulim borcima VRS u MZ</w:t>
            </w:r>
          </w:p>
        </w:tc>
        <w:tc>
          <w:tcPr>
            <w:tcW w:w="363" w:type="pct"/>
            <w:vAlign w:val="center"/>
          </w:tcPr>
          <w:p w14:paraId="65E44BE1" w14:textId="3315101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boračko-invalidsku zaštitu</w:t>
            </w:r>
          </w:p>
        </w:tc>
      </w:tr>
      <w:tr w:rsidR="00D23213" w:rsidRPr="00D23213" w14:paraId="55181F21" w14:textId="77777777" w:rsidTr="008A4A03">
        <w:trPr>
          <w:trHeight w:val="64"/>
        </w:trPr>
        <w:tc>
          <w:tcPr>
            <w:tcW w:w="211" w:type="pct"/>
            <w:textDirection w:val="btLr"/>
            <w:vAlign w:val="center"/>
          </w:tcPr>
          <w:p w14:paraId="76F2BEDC" w14:textId="1A374F5A"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2/Sec 2.2</w:t>
            </w:r>
          </w:p>
        </w:tc>
        <w:tc>
          <w:tcPr>
            <w:tcW w:w="626" w:type="pct"/>
            <w:vAlign w:val="center"/>
          </w:tcPr>
          <w:p w14:paraId="5990FB80" w14:textId="56EBECE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Izrada Omladinske politike opštine Prnjavor (2018)</w:t>
            </w:r>
          </w:p>
        </w:tc>
        <w:tc>
          <w:tcPr>
            <w:tcW w:w="838" w:type="pct"/>
            <w:vAlign w:val="center"/>
          </w:tcPr>
          <w:p w14:paraId="2A0D47D3" w14:textId="33EC8FD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Izrađen i usvojen dokument Omladinska politika</w:t>
            </w:r>
          </w:p>
        </w:tc>
        <w:tc>
          <w:tcPr>
            <w:tcW w:w="503" w:type="pct"/>
            <w:vAlign w:val="center"/>
          </w:tcPr>
          <w:p w14:paraId="5A8939D3" w14:textId="15572C3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5,000</w:t>
            </w:r>
          </w:p>
        </w:tc>
        <w:tc>
          <w:tcPr>
            <w:tcW w:w="279" w:type="pct"/>
            <w:vAlign w:val="center"/>
          </w:tcPr>
          <w:p w14:paraId="5D7C3B20" w14:textId="0C04A95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5,000</w:t>
            </w:r>
          </w:p>
        </w:tc>
        <w:tc>
          <w:tcPr>
            <w:tcW w:w="280" w:type="pct"/>
            <w:vAlign w:val="center"/>
          </w:tcPr>
          <w:p w14:paraId="01F534E9" w14:textId="0225B01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36FB92E8" w14:textId="3E2A5B1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6C3F93F7" w14:textId="1216992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5,000</w:t>
            </w:r>
          </w:p>
        </w:tc>
        <w:tc>
          <w:tcPr>
            <w:tcW w:w="224" w:type="pct"/>
            <w:vAlign w:val="center"/>
          </w:tcPr>
          <w:p w14:paraId="5E1C58B9" w14:textId="20E7F60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168" w:type="pct"/>
            <w:vAlign w:val="center"/>
          </w:tcPr>
          <w:p w14:paraId="0084A3ED" w14:textId="6417C7D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167" w:type="pct"/>
            <w:vAlign w:val="center"/>
          </w:tcPr>
          <w:p w14:paraId="7B917217" w14:textId="2E85EFE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26" w:type="pct"/>
            <w:vAlign w:val="center"/>
          </w:tcPr>
          <w:p w14:paraId="15D2E900" w14:textId="407A8BE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574161C4" w14:textId="4A18197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025081F6" w14:textId="199546B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63" w:type="pct"/>
            <w:vAlign w:val="center"/>
          </w:tcPr>
          <w:p w14:paraId="6596611A" w14:textId="0EC6B09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LER i društvene djelatnosti</w:t>
            </w:r>
          </w:p>
        </w:tc>
      </w:tr>
      <w:tr w:rsidR="00D23213" w:rsidRPr="00D23213" w14:paraId="44E25DBD" w14:textId="77777777" w:rsidTr="008A4A03">
        <w:trPr>
          <w:trHeight w:val="64"/>
        </w:trPr>
        <w:tc>
          <w:tcPr>
            <w:tcW w:w="211" w:type="pct"/>
            <w:textDirection w:val="btLr"/>
            <w:vAlign w:val="center"/>
          </w:tcPr>
          <w:p w14:paraId="53C0CD96" w14:textId="4C47C5D2"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2/Sec 2.2</w:t>
            </w:r>
          </w:p>
        </w:tc>
        <w:tc>
          <w:tcPr>
            <w:tcW w:w="626" w:type="pct"/>
            <w:vAlign w:val="center"/>
          </w:tcPr>
          <w:p w14:paraId="269BCB16" w14:textId="381DB79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xml:space="preserve">Unapređenje prioritetne školske infrastrukture na području opštine </w:t>
            </w:r>
            <w:r w:rsidR="00807983" w:rsidRPr="00D23213">
              <w:rPr>
                <w:rFonts w:asciiTheme="minorHAnsi" w:hAnsiTheme="minorHAnsi" w:cstheme="minorHAnsi"/>
                <w:sz w:val="16"/>
                <w:szCs w:val="16"/>
              </w:rPr>
              <w:t>(2018-2020)</w:t>
            </w:r>
          </w:p>
        </w:tc>
        <w:tc>
          <w:tcPr>
            <w:tcW w:w="838" w:type="pct"/>
            <w:vAlign w:val="center"/>
          </w:tcPr>
          <w:p w14:paraId="41CACB6E" w14:textId="68678E9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Unapređeni uslovi za izvođenje nastave za najmanje X učenika</w:t>
            </w:r>
          </w:p>
        </w:tc>
        <w:tc>
          <w:tcPr>
            <w:tcW w:w="503" w:type="pct"/>
            <w:vAlign w:val="center"/>
          </w:tcPr>
          <w:p w14:paraId="1BEB1CE5" w14:textId="67D58B9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227,700</w:t>
            </w:r>
          </w:p>
        </w:tc>
        <w:tc>
          <w:tcPr>
            <w:tcW w:w="279" w:type="pct"/>
            <w:vAlign w:val="center"/>
          </w:tcPr>
          <w:p w14:paraId="25C0402E" w14:textId="07FDC54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25,000</w:t>
            </w:r>
          </w:p>
        </w:tc>
        <w:tc>
          <w:tcPr>
            <w:tcW w:w="280" w:type="pct"/>
            <w:vAlign w:val="center"/>
          </w:tcPr>
          <w:p w14:paraId="5B6AE705" w14:textId="2D87294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25,000</w:t>
            </w:r>
          </w:p>
        </w:tc>
        <w:tc>
          <w:tcPr>
            <w:tcW w:w="280" w:type="pct"/>
            <w:vAlign w:val="center"/>
          </w:tcPr>
          <w:p w14:paraId="2F2DA181" w14:textId="3546C6B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25,000</w:t>
            </w:r>
          </w:p>
        </w:tc>
        <w:tc>
          <w:tcPr>
            <w:tcW w:w="280" w:type="pct"/>
            <w:vAlign w:val="center"/>
          </w:tcPr>
          <w:p w14:paraId="0499A0EB" w14:textId="7741DFA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75,000</w:t>
            </w:r>
          </w:p>
        </w:tc>
        <w:tc>
          <w:tcPr>
            <w:tcW w:w="224" w:type="pct"/>
            <w:vAlign w:val="center"/>
          </w:tcPr>
          <w:p w14:paraId="14BEFCB0" w14:textId="3855AEC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97,700</w:t>
            </w:r>
          </w:p>
        </w:tc>
        <w:tc>
          <w:tcPr>
            <w:tcW w:w="168" w:type="pct"/>
            <w:vAlign w:val="center"/>
          </w:tcPr>
          <w:p w14:paraId="7DF0B0F1" w14:textId="4A1DDE6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25,000</w:t>
            </w:r>
          </w:p>
        </w:tc>
        <w:tc>
          <w:tcPr>
            <w:tcW w:w="167" w:type="pct"/>
            <w:vAlign w:val="center"/>
          </w:tcPr>
          <w:p w14:paraId="15C118EC" w14:textId="76EB044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25,000</w:t>
            </w:r>
          </w:p>
        </w:tc>
        <w:tc>
          <w:tcPr>
            <w:tcW w:w="226" w:type="pct"/>
            <w:vAlign w:val="center"/>
          </w:tcPr>
          <w:p w14:paraId="2BE5C384" w14:textId="310F8A8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147,700</w:t>
            </w:r>
          </w:p>
        </w:tc>
        <w:tc>
          <w:tcPr>
            <w:tcW w:w="224" w:type="pct"/>
            <w:vAlign w:val="center"/>
          </w:tcPr>
          <w:p w14:paraId="288A781F" w14:textId="7770C5E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632EF694" w14:textId="3C65FCB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xml:space="preserve">487900 - Pomoć osnovnim školama i 511200- Izgradnja i rekonstrukcija gradskih ulica, putne i kanalizacione </w:t>
            </w:r>
            <w:r w:rsidRPr="00D23213">
              <w:rPr>
                <w:rFonts w:asciiTheme="minorHAnsi" w:hAnsiTheme="minorHAnsi" w:cstheme="minorHAnsi"/>
                <w:sz w:val="16"/>
                <w:szCs w:val="16"/>
              </w:rPr>
              <w:lastRenderedPageBreak/>
              <w:t xml:space="preserve">mreže, školskih i drugih objekata...   </w:t>
            </w:r>
          </w:p>
        </w:tc>
        <w:tc>
          <w:tcPr>
            <w:tcW w:w="363" w:type="pct"/>
            <w:vAlign w:val="center"/>
          </w:tcPr>
          <w:p w14:paraId="1BB68A3F" w14:textId="2F9D272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lastRenderedPageBreak/>
              <w:t>Odjeljenje za stambeno-komunalne poslove i investicije i Odjeljenje za LER</w:t>
            </w:r>
          </w:p>
        </w:tc>
      </w:tr>
      <w:tr w:rsidR="00D23213" w:rsidRPr="00D23213" w14:paraId="435A9430" w14:textId="77777777" w:rsidTr="008A4A03">
        <w:trPr>
          <w:trHeight w:val="64"/>
        </w:trPr>
        <w:tc>
          <w:tcPr>
            <w:tcW w:w="211" w:type="pct"/>
            <w:textDirection w:val="btLr"/>
            <w:vAlign w:val="center"/>
          </w:tcPr>
          <w:p w14:paraId="6AE54565" w14:textId="065A3406"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2/Sec 2.2</w:t>
            </w:r>
          </w:p>
        </w:tc>
        <w:tc>
          <w:tcPr>
            <w:tcW w:w="626" w:type="pct"/>
            <w:vAlign w:val="center"/>
          </w:tcPr>
          <w:p w14:paraId="78A410F9" w14:textId="57EAB9C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Mjera: Modernizacija nastavnog procesa (opremanje didaktičkim sredstvima)</w:t>
            </w:r>
            <w:r w:rsidR="00807983" w:rsidRPr="00D23213">
              <w:rPr>
                <w:rFonts w:asciiTheme="minorHAnsi" w:hAnsiTheme="minorHAnsi" w:cstheme="minorHAnsi"/>
                <w:sz w:val="16"/>
                <w:szCs w:val="16"/>
              </w:rPr>
              <w:t xml:space="preserve"> (2018-2020)</w:t>
            </w:r>
          </w:p>
        </w:tc>
        <w:tc>
          <w:tcPr>
            <w:tcW w:w="838" w:type="pct"/>
            <w:vAlign w:val="center"/>
          </w:tcPr>
          <w:p w14:paraId="492C2634" w14:textId="53B036F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Unapređeni uslovi za izvođenje nastave za najmanje X učenika</w:t>
            </w:r>
          </w:p>
        </w:tc>
        <w:tc>
          <w:tcPr>
            <w:tcW w:w="503" w:type="pct"/>
            <w:vAlign w:val="center"/>
          </w:tcPr>
          <w:p w14:paraId="3DC27B92" w14:textId="2A396EA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30,000</w:t>
            </w:r>
          </w:p>
        </w:tc>
        <w:tc>
          <w:tcPr>
            <w:tcW w:w="279" w:type="pct"/>
            <w:vAlign w:val="center"/>
          </w:tcPr>
          <w:p w14:paraId="690B7258" w14:textId="352DD19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5,000</w:t>
            </w:r>
          </w:p>
        </w:tc>
        <w:tc>
          <w:tcPr>
            <w:tcW w:w="280" w:type="pct"/>
            <w:vAlign w:val="center"/>
          </w:tcPr>
          <w:p w14:paraId="772E7FCB" w14:textId="39CEC2C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5,000</w:t>
            </w:r>
          </w:p>
        </w:tc>
        <w:tc>
          <w:tcPr>
            <w:tcW w:w="280" w:type="pct"/>
            <w:vAlign w:val="center"/>
          </w:tcPr>
          <w:p w14:paraId="4DE9892E" w14:textId="4C144C1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5,000</w:t>
            </w:r>
          </w:p>
        </w:tc>
        <w:tc>
          <w:tcPr>
            <w:tcW w:w="280" w:type="pct"/>
            <w:vAlign w:val="center"/>
          </w:tcPr>
          <w:p w14:paraId="13407C0F" w14:textId="41B75CA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15,000</w:t>
            </w:r>
          </w:p>
        </w:tc>
        <w:tc>
          <w:tcPr>
            <w:tcW w:w="224" w:type="pct"/>
            <w:vAlign w:val="center"/>
          </w:tcPr>
          <w:p w14:paraId="2BE416D4" w14:textId="3C42578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5,000</w:t>
            </w:r>
          </w:p>
        </w:tc>
        <w:tc>
          <w:tcPr>
            <w:tcW w:w="168" w:type="pct"/>
            <w:vAlign w:val="center"/>
          </w:tcPr>
          <w:p w14:paraId="684C9283" w14:textId="5825956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5,000</w:t>
            </w:r>
          </w:p>
        </w:tc>
        <w:tc>
          <w:tcPr>
            <w:tcW w:w="167" w:type="pct"/>
            <w:vAlign w:val="center"/>
          </w:tcPr>
          <w:p w14:paraId="5C9DA113" w14:textId="34E0D6A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5,000</w:t>
            </w:r>
          </w:p>
        </w:tc>
        <w:tc>
          <w:tcPr>
            <w:tcW w:w="226" w:type="pct"/>
            <w:vAlign w:val="center"/>
          </w:tcPr>
          <w:p w14:paraId="26394EEA" w14:textId="3097766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15,000</w:t>
            </w:r>
          </w:p>
        </w:tc>
        <w:tc>
          <w:tcPr>
            <w:tcW w:w="224" w:type="pct"/>
            <w:vAlign w:val="center"/>
          </w:tcPr>
          <w:p w14:paraId="7F9527E4" w14:textId="3AF3531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18286192" w14:textId="23C6757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487900- Pomoć osnovnim školama</w:t>
            </w:r>
          </w:p>
        </w:tc>
        <w:tc>
          <w:tcPr>
            <w:tcW w:w="363" w:type="pct"/>
            <w:vAlign w:val="center"/>
          </w:tcPr>
          <w:p w14:paraId="6033EEBC" w14:textId="0F960CB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LER i društvene djelatnosti</w:t>
            </w:r>
          </w:p>
        </w:tc>
      </w:tr>
      <w:tr w:rsidR="00D23213" w:rsidRPr="00D23213" w14:paraId="1BCD4196" w14:textId="77777777" w:rsidTr="008A4A03">
        <w:trPr>
          <w:trHeight w:val="64"/>
        </w:trPr>
        <w:tc>
          <w:tcPr>
            <w:tcW w:w="211" w:type="pct"/>
            <w:textDirection w:val="btLr"/>
            <w:vAlign w:val="center"/>
          </w:tcPr>
          <w:p w14:paraId="66549B8A" w14:textId="7857F7F4"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2/Sec 2.2</w:t>
            </w:r>
          </w:p>
        </w:tc>
        <w:tc>
          <w:tcPr>
            <w:tcW w:w="626" w:type="pct"/>
            <w:vAlign w:val="center"/>
          </w:tcPr>
          <w:p w14:paraId="56DFF34B" w14:textId="24BA619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xml:space="preserve">Poboljšanje uslova za mlade za bavljenje sportskim i kulturnim aktivnostima </w:t>
            </w:r>
            <w:r w:rsidR="00807983" w:rsidRPr="00D23213">
              <w:rPr>
                <w:rFonts w:asciiTheme="minorHAnsi" w:hAnsiTheme="minorHAnsi" w:cstheme="minorHAnsi"/>
                <w:sz w:val="16"/>
                <w:szCs w:val="16"/>
              </w:rPr>
              <w:t>(2018-2020)</w:t>
            </w:r>
          </w:p>
        </w:tc>
        <w:tc>
          <w:tcPr>
            <w:tcW w:w="838" w:type="pct"/>
            <w:vAlign w:val="center"/>
          </w:tcPr>
          <w:p w14:paraId="68856F3E" w14:textId="0BE6D2A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Unapređeni uslovi rada za najmanje X udruženja mladih koji se bave sportom sa najmanje X članova i X udruženja mladih koji se bave kulturnim aktivnostima sa najmanje X članova</w:t>
            </w:r>
          </w:p>
        </w:tc>
        <w:tc>
          <w:tcPr>
            <w:tcW w:w="503" w:type="pct"/>
            <w:vAlign w:val="center"/>
          </w:tcPr>
          <w:p w14:paraId="6209860C" w14:textId="312C1B4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100,000</w:t>
            </w:r>
          </w:p>
        </w:tc>
        <w:tc>
          <w:tcPr>
            <w:tcW w:w="279" w:type="pct"/>
            <w:vAlign w:val="center"/>
          </w:tcPr>
          <w:p w14:paraId="2268631C" w14:textId="326B48A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w:t>
            </w:r>
          </w:p>
        </w:tc>
        <w:tc>
          <w:tcPr>
            <w:tcW w:w="280" w:type="pct"/>
            <w:vAlign w:val="center"/>
          </w:tcPr>
          <w:p w14:paraId="19AF0077" w14:textId="58CE95B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w:t>
            </w:r>
          </w:p>
        </w:tc>
        <w:tc>
          <w:tcPr>
            <w:tcW w:w="280" w:type="pct"/>
            <w:vAlign w:val="center"/>
          </w:tcPr>
          <w:p w14:paraId="69B1A028" w14:textId="08527B0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w:t>
            </w:r>
          </w:p>
        </w:tc>
        <w:tc>
          <w:tcPr>
            <w:tcW w:w="280" w:type="pct"/>
            <w:vAlign w:val="center"/>
          </w:tcPr>
          <w:p w14:paraId="5E5A10F2" w14:textId="5F46847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30,000</w:t>
            </w:r>
          </w:p>
        </w:tc>
        <w:tc>
          <w:tcPr>
            <w:tcW w:w="224" w:type="pct"/>
            <w:vAlign w:val="center"/>
          </w:tcPr>
          <w:p w14:paraId="4048FBC4" w14:textId="3DA6D81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30,000</w:t>
            </w:r>
          </w:p>
        </w:tc>
        <w:tc>
          <w:tcPr>
            <w:tcW w:w="168" w:type="pct"/>
            <w:vAlign w:val="center"/>
          </w:tcPr>
          <w:p w14:paraId="4AEF5E9A" w14:textId="44BCAF7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20,000</w:t>
            </w:r>
          </w:p>
        </w:tc>
        <w:tc>
          <w:tcPr>
            <w:tcW w:w="167" w:type="pct"/>
            <w:vAlign w:val="center"/>
          </w:tcPr>
          <w:p w14:paraId="5C0D0FF6" w14:textId="15A347A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20,000</w:t>
            </w:r>
          </w:p>
        </w:tc>
        <w:tc>
          <w:tcPr>
            <w:tcW w:w="226" w:type="pct"/>
            <w:vAlign w:val="center"/>
          </w:tcPr>
          <w:p w14:paraId="7C2A3E49" w14:textId="3400EE6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70,000</w:t>
            </w:r>
          </w:p>
        </w:tc>
        <w:tc>
          <w:tcPr>
            <w:tcW w:w="224" w:type="pct"/>
            <w:vAlign w:val="center"/>
          </w:tcPr>
          <w:p w14:paraId="7BA46243" w14:textId="0A73575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6C5AAC55" w14:textId="05EABD0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511200- Izgradnja i rekonstrukcija gradskih ulica, putne i kanalizacione mreže, školskih i drugih objekata...  415200 - Sredstva za podsticaj i razvoj sporta</w:t>
            </w:r>
          </w:p>
        </w:tc>
        <w:tc>
          <w:tcPr>
            <w:tcW w:w="363" w:type="pct"/>
            <w:vAlign w:val="center"/>
          </w:tcPr>
          <w:p w14:paraId="6D922CCA" w14:textId="1961E11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stambeno komunalne poslove i investicije i Odjeljenje za LER i društvene djelatnosti</w:t>
            </w:r>
          </w:p>
        </w:tc>
      </w:tr>
      <w:tr w:rsidR="00D23213" w:rsidRPr="00D23213" w14:paraId="64E77ED6" w14:textId="77777777" w:rsidTr="008A4A03">
        <w:trPr>
          <w:trHeight w:val="64"/>
        </w:trPr>
        <w:tc>
          <w:tcPr>
            <w:tcW w:w="211" w:type="pct"/>
            <w:textDirection w:val="btLr"/>
            <w:vAlign w:val="center"/>
          </w:tcPr>
          <w:p w14:paraId="4522D477" w14:textId="04200928"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2/Sec 2.2</w:t>
            </w:r>
          </w:p>
        </w:tc>
        <w:tc>
          <w:tcPr>
            <w:tcW w:w="626" w:type="pct"/>
            <w:vAlign w:val="center"/>
          </w:tcPr>
          <w:p w14:paraId="643DB145" w14:textId="5207A03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Izgradnja centralnog spomen obilježja</w:t>
            </w:r>
            <w:r w:rsidR="00807983" w:rsidRPr="00D23213">
              <w:rPr>
                <w:rFonts w:asciiTheme="minorHAnsi" w:hAnsiTheme="minorHAnsi" w:cstheme="minorHAnsi"/>
                <w:sz w:val="16"/>
                <w:szCs w:val="16"/>
              </w:rPr>
              <w:t xml:space="preserve"> (2018-2020)</w:t>
            </w:r>
          </w:p>
        </w:tc>
        <w:tc>
          <w:tcPr>
            <w:tcW w:w="838" w:type="pct"/>
            <w:vAlign w:val="center"/>
          </w:tcPr>
          <w:p w14:paraId="2DC68E51" w14:textId="50E206F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Uređen lokalitet centralnog spomen obilježja</w:t>
            </w:r>
          </w:p>
        </w:tc>
        <w:tc>
          <w:tcPr>
            <w:tcW w:w="503" w:type="pct"/>
            <w:vAlign w:val="center"/>
          </w:tcPr>
          <w:p w14:paraId="354E82A2" w14:textId="0A3288E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110,000</w:t>
            </w:r>
          </w:p>
        </w:tc>
        <w:tc>
          <w:tcPr>
            <w:tcW w:w="279" w:type="pct"/>
            <w:vAlign w:val="center"/>
          </w:tcPr>
          <w:p w14:paraId="1FF64616" w14:textId="2F53FF8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w:t>
            </w:r>
          </w:p>
        </w:tc>
        <w:tc>
          <w:tcPr>
            <w:tcW w:w="280" w:type="pct"/>
            <w:vAlign w:val="center"/>
          </w:tcPr>
          <w:p w14:paraId="45EB8D8A" w14:textId="447DB58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22,000</w:t>
            </w:r>
          </w:p>
        </w:tc>
        <w:tc>
          <w:tcPr>
            <w:tcW w:w="280" w:type="pct"/>
            <w:vAlign w:val="center"/>
          </w:tcPr>
          <w:p w14:paraId="78A1AEE9" w14:textId="25A9E8B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22,000</w:t>
            </w:r>
          </w:p>
        </w:tc>
        <w:tc>
          <w:tcPr>
            <w:tcW w:w="280" w:type="pct"/>
            <w:vAlign w:val="center"/>
          </w:tcPr>
          <w:p w14:paraId="6DC0214B" w14:textId="0250905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54,000</w:t>
            </w:r>
          </w:p>
        </w:tc>
        <w:tc>
          <w:tcPr>
            <w:tcW w:w="224" w:type="pct"/>
            <w:vAlign w:val="center"/>
          </w:tcPr>
          <w:p w14:paraId="7ECA35CD" w14:textId="22C7586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w:t>
            </w:r>
          </w:p>
        </w:tc>
        <w:tc>
          <w:tcPr>
            <w:tcW w:w="168" w:type="pct"/>
            <w:vAlign w:val="center"/>
          </w:tcPr>
          <w:p w14:paraId="2E7EE78B" w14:textId="5497904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23,000</w:t>
            </w:r>
          </w:p>
        </w:tc>
        <w:tc>
          <w:tcPr>
            <w:tcW w:w="167" w:type="pct"/>
            <w:vAlign w:val="center"/>
          </w:tcPr>
          <w:p w14:paraId="558592E4" w14:textId="5587EA3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23,000</w:t>
            </w:r>
          </w:p>
        </w:tc>
        <w:tc>
          <w:tcPr>
            <w:tcW w:w="226" w:type="pct"/>
            <w:vAlign w:val="center"/>
          </w:tcPr>
          <w:p w14:paraId="0061150A" w14:textId="5A30E65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56,000</w:t>
            </w:r>
          </w:p>
        </w:tc>
        <w:tc>
          <w:tcPr>
            <w:tcW w:w="224" w:type="pct"/>
            <w:vAlign w:val="center"/>
          </w:tcPr>
          <w:p w14:paraId="2770DCCD" w14:textId="5B05611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2FD378D8" w14:textId="786A5D2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511100 - Sredstva za izgradnju spomenika poginulim borcima i izradu glavnih projekata</w:t>
            </w:r>
          </w:p>
        </w:tc>
        <w:tc>
          <w:tcPr>
            <w:tcW w:w="363" w:type="pct"/>
            <w:vAlign w:val="center"/>
          </w:tcPr>
          <w:p w14:paraId="5ECFCC8F" w14:textId="2383E0E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boračko-invalidsku zaštitu</w:t>
            </w:r>
          </w:p>
        </w:tc>
      </w:tr>
      <w:tr w:rsidR="00D23213" w:rsidRPr="00D23213" w14:paraId="22BF79D1" w14:textId="77777777" w:rsidTr="008A4A03">
        <w:trPr>
          <w:trHeight w:val="64"/>
        </w:trPr>
        <w:tc>
          <w:tcPr>
            <w:tcW w:w="211" w:type="pct"/>
            <w:textDirection w:val="btLr"/>
            <w:vAlign w:val="center"/>
          </w:tcPr>
          <w:p w14:paraId="08421606" w14:textId="696494F5" w:rsidR="00D82177" w:rsidRPr="00D23213" w:rsidRDefault="00D82177" w:rsidP="00D82177">
            <w:pPr>
              <w:jc w:val="center"/>
              <w:rPr>
                <w:rFonts w:asciiTheme="minorHAnsi" w:hAnsiTheme="minorHAnsi" w:cstheme="minorHAnsi"/>
                <w:sz w:val="16"/>
                <w:szCs w:val="16"/>
              </w:rPr>
            </w:pPr>
            <w:r w:rsidRPr="00D23213">
              <w:rPr>
                <w:rFonts w:asciiTheme="minorHAnsi" w:hAnsiTheme="minorHAnsi" w:cstheme="minorHAnsi"/>
                <w:sz w:val="16"/>
                <w:szCs w:val="16"/>
              </w:rPr>
              <w:lastRenderedPageBreak/>
              <w:t>SC 2/Sec 2.2</w:t>
            </w:r>
          </w:p>
        </w:tc>
        <w:tc>
          <w:tcPr>
            <w:tcW w:w="626" w:type="pct"/>
            <w:vAlign w:val="center"/>
          </w:tcPr>
          <w:p w14:paraId="6A5395F8" w14:textId="01219121" w:rsidR="00D82177" w:rsidRPr="00D23213" w:rsidRDefault="00D82177" w:rsidP="00D82177">
            <w:pPr>
              <w:rPr>
                <w:rFonts w:asciiTheme="minorHAnsi" w:hAnsiTheme="minorHAnsi" w:cstheme="minorHAnsi"/>
                <w:sz w:val="16"/>
                <w:szCs w:val="16"/>
              </w:rPr>
            </w:pPr>
            <w:r w:rsidRPr="00D23213">
              <w:rPr>
                <w:rFonts w:asciiTheme="minorHAnsi" w:hAnsiTheme="minorHAnsi" w:cstheme="minorHAnsi"/>
                <w:sz w:val="16"/>
                <w:szCs w:val="16"/>
              </w:rPr>
              <w:t>Osnivanje zavičajnog muzeja i adaptacija i zaštita zgrade „Đerinac“ (2018-2020)</w:t>
            </w:r>
          </w:p>
        </w:tc>
        <w:tc>
          <w:tcPr>
            <w:tcW w:w="838" w:type="pct"/>
            <w:vAlign w:val="center"/>
          </w:tcPr>
          <w:p w14:paraId="23AD2C9D" w14:textId="7FC94AE0" w:rsidR="00D82177" w:rsidRPr="00D23213" w:rsidRDefault="00D82177" w:rsidP="00D82177">
            <w:pPr>
              <w:rPr>
                <w:rFonts w:asciiTheme="minorHAnsi" w:hAnsiTheme="minorHAnsi" w:cstheme="minorHAnsi"/>
                <w:sz w:val="16"/>
                <w:szCs w:val="16"/>
              </w:rPr>
            </w:pPr>
            <w:r w:rsidRPr="00D23213">
              <w:rPr>
                <w:rFonts w:asciiTheme="minorHAnsi" w:hAnsiTheme="minorHAnsi" w:cstheme="minorHAnsi"/>
                <w:sz w:val="16"/>
                <w:szCs w:val="16"/>
              </w:rPr>
              <w:t>Najmanje 3 događaja godišnje organizovana u prostoru muzeja i 3 u prostoru zgrade Đerinac</w:t>
            </w:r>
          </w:p>
        </w:tc>
        <w:tc>
          <w:tcPr>
            <w:tcW w:w="503" w:type="pct"/>
            <w:vAlign w:val="center"/>
          </w:tcPr>
          <w:p w14:paraId="45955934" w14:textId="684A65FF" w:rsidR="00D82177" w:rsidRPr="00D23213" w:rsidRDefault="00D82177" w:rsidP="00D82177">
            <w:pPr>
              <w:rPr>
                <w:rFonts w:asciiTheme="minorHAnsi" w:hAnsiTheme="minorHAnsi" w:cstheme="minorHAnsi"/>
                <w:sz w:val="16"/>
                <w:szCs w:val="16"/>
              </w:rPr>
            </w:pPr>
            <w:r w:rsidRPr="00D23213">
              <w:rPr>
                <w:rFonts w:asciiTheme="minorHAnsi" w:hAnsiTheme="minorHAnsi" w:cstheme="minorHAnsi"/>
                <w:sz w:val="16"/>
                <w:szCs w:val="16"/>
              </w:rPr>
              <w:t>200,000</w:t>
            </w:r>
          </w:p>
        </w:tc>
        <w:tc>
          <w:tcPr>
            <w:tcW w:w="279" w:type="pct"/>
            <w:vAlign w:val="center"/>
          </w:tcPr>
          <w:p w14:paraId="0D8BF563" w14:textId="0937D184" w:rsidR="00D82177" w:rsidRPr="00D23213" w:rsidRDefault="00D82177" w:rsidP="00D82177">
            <w:pPr>
              <w:rPr>
                <w:rFonts w:asciiTheme="minorHAnsi" w:hAnsiTheme="minorHAnsi" w:cstheme="minorHAnsi"/>
                <w:sz w:val="16"/>
                <w:szCs w:val="16"/>
              </w:rPr>
            </w:pPr>
            <w:r w:rsidRPr="00D23213">
              <w:rPr>
                <w:rFonts w:asciiTheme="minorHAnsi" w:hAnsiTheme="minorHAnsi" w:cstheme="minorHAnsi"/>
                <w:sz w:val="16"/>
                <w:szCs w:val="16"/>
              </w:rPr>
              <w:t>20,000</w:t>
            </w:r>
          </w:p>
        </w:tc>
        <w:tc>
          <w:tcPr>
            <w:tcW w:w="280" w:type="pct"/>
            <w:vAlign w:val="center"/>
          </w:tcPr>
          <w:p w14:paraId="4D51941B" w14:textId="3D6D5B51" w:rsidR="00D82177" w:rsidRPr="00D23213" w:rsidRDefault="00D82177" w:rsidP="00D82177">
            <w:pPr>
              <w:rPr>
                <w:rFonts w:asciiTheme="minorHAnsi" w:hAnsiTheme="minorHAnsi" w:cstheme="minorHAnsi"/>
                <w:sz w:val="16"/>
                <w:szCs w:val="16"/>
              </w:rPr>
            </w:pPr>
            <w:r w:rsidRPr="00D23213">
              <w:rPr>
                <w:rFonts w:asciiTheme="minorHAnsi" w:hAnsiTheme="minorHAnsi" w:cstheme="minorHAnsi"/>
                <w:sz w:val="16"/>
                <w:szCs w:val="16"/>
              </w:rPr>
              <w:t>25,000</w:t>
            </w:r>
          </w:p>
        </w:tc>
        <w:tc>
          <w:tcPr>
            <w:tcW w:w="280" w:type="pct"/>
            <w:vAlign w:val="center"/>
          </w:tcPr>
          <w:p w14:paraId="4DABB20A" w14:textId="27550C44" w:rsidR="00D82177" w:rsidRPr="00D23213" w:rsidRDefault="00D82177" w:rsidP="00D82177">
            <w:pPr>
              <w:rPr>
                <w:rFonts w:asciiTheme="minorHAnsi" w:hAnsiTheme="minorHAnsi" w:cstheme="minorHAnsi"/>
                <w:sz w:val="16"/>
                <w:szCs w:val="16"/>
              </w:rPr>
            </w:pPr>
            <w:r w:rsidRPr="00D23213">
              <w:rPr>
                <w:rFonts w:asciiTheme="minorHAnsi" w:hAnsiTheme="minorHAnsi" w:cstheme="minorHAnsi"/>
                <w:sz w:val="16"/>
                <w:szCs w:val="16"/>
              </w:rPr>
              <w:t>25,000</w:t>
            </w:r>
          </w:p>
        </w:tc>
        <w:tc>
          <w:tcPr>
            <w:tcW w:w="280" w:type="pct"/>
            <w:vAlign w:val="center"/>
          </w:tcPr>
          <w:p w14:paraId="4EDA087E" w14:textId="04C45E61" w:rsidR="00D82177" w:rsidRPr="00D23213" w:rsidRDefault="00D82177" w:rsidP="00D82177">
            <w:pPr>
              <w:rPr>
                <w:rFonts w:asciiTheme="minorHAnsi" w:hAnsiTheme="minorHAnsi" w:cstheme="minorHAnsi"/>
                <w:sz w:val="16"/>
                <w:szCs w:val="16"/>
              </w:rPr>
            </w:pPr>
            <w:r w:rsidRPr="00D23213">
              <w:rPr>
                <w:rFonts w:asciiTheme="minorHAnsi" w:hAnsiTheme="minorHAnsi" w:cstheme="minorHAnsi"/>
                <w:sz w:val="16"/>
                <w:szCs w:val="16"/>
              </w:rPr>
              <w:t>70,000</w:t>
            </w:r>
          </w:p>
        </w:tc>
        <w:tc>
          <w:tcPr>
            <w:tcW w:w="224" w:type="pct"/>
            <w:vAlign w:val="center"/>
          </w:tcPr>
          <w:p w14:paraId="1D84A1F7" w14:textId="7C656243" w:rsidR="00D82177" w:rsidRPr="00D23213" w:rsidRDefault="00D82177" w:rsidP="00D82177">
            <w:pPr>
              <w:rPr>
                <w:rFonts w:asciiTheme="minorHAnsi" w:hAnsiTheme="minorHAnsi" w:cstheme="minorHAnsi"/>
                <w:sz w:val="16"/>
                <w:szCs w:val="16"/>
              </w:rPr>
            </w:pPr>
            <w:r w:rsidRPr="00D23213">
              <w:rPr>
                <w:rFonts w:asciiTheme="minorHAnsi" w:hAnsiTheme="minorHAnsi" w:cstheme="minorHAnsi"/>
                <w:sz w:val="16"/>
                <w:szCs w:val="16"/>
              </w:rPr>
              <w:t>50,000</w:t>
            </w:r>
          </w:p>
        </w:tc>
        <w:tc>
          <w:tcPr>
            <w:tcW w:w="168" w:type="pct"/>
            <w:vAlign w:val="center"/>
          </w:tcPr>
          <w:p w14:paraId="0446528E" w14:textId="587798ED" w:rsidR="00D82177" w:rsidRPr="00D23213" w:rsidRDefault="00D82177" w:rsidP="00D82177">
            <w:pPr>
              <w:rPr>
                <w:rFonts w:asciiTheme="minorHAnsi" w:hAnsiTheme="minorHAnsi" w:cstheme="minorHAnsi"/>
                <w:sz w:val="16"/>
                <w:szCs w:val="16"/>
              </w:rPr>
            </w:pPr>
            <w:r w:rsidRPr="00D23213">
              <w:rPr>
                <w:rFonts w:asciiTheme="minorHAnsi" w:hAnsiTheme="minorHAnsi" w:cstheme="minorHAnsi"/>
                <w:sz w:val="16"/>
                <w:szCs w:val="16"/>
              </w:rPr>
              <w:t>40,000</w:t>
            </w:r>
          </w:p>
        </w:tc>
        <w:tc>
          <w:tcPr>
            <w:tcW w:w="167" w:type="pct"/>
            <w:vAlign w:val="center"/>
          </w:tcPr>
          <w:p w14:paraId="18D9D28D" w14:textId="7F32AE36" w:rsidR="00D82177" w:rsidRPr="00D23213" w:rsidRDefault="00D82177" w:rsidP="00D82177">
            <w:pPr>
              <w:rPr>
                <w:rFonts w:asciiTheme="minorHAnsi" w:hAnsiTheme="minorHAnsi" w:cstheme="minorHAnsi"/>
                <w:sz w:val="16"/>
                <w:szCs w:val="16"/>
              </w:rPr>
            </w:pPr>
            <w:r w:rsidRPr="00D23213">
              <w:rPr>
                <w:rFonts w:asciiTheme="minorHAnsi" w:hAnsiTheme="minorHAnsi" w:cstheme="minorHAnsi"/>
                <w:sz w:val="16"/>
                <w:szCs w:val="16"/>
              </w:rPr>
              <w:t>40,000</w:t>
            </w:r>
          </w:p>
        </w:tc>
        <w:tc>
          <w:tcPr>
            <w:tcW w:w="226" w:type="pct"/>
            <w:vAlign w:val="center"/>
          </w:tcPr>
          <w:p w14:paraId="776F3134" w14:textId="56523FF5" w:rsidR="00D82177" w:rsidRPr="00D23213" w:rsidRDefault="00D82177" w:rsidP="00D82177">
            <w:pPr>
              <w:rPr>
                <w:rFonts w:asciiTheme="minorHAnsi" w:hAnsiTheme="minorHAnsi" w:cstheme="minorHAnsi"/>
                <w:sz w:val="16"/>
                <w:szCs w:val="16"/>
              </w:rPr>
            </w:pPr>
            <w:r w:rsidRPr="00D23213">
              <w:rPr>
                <w:rFonts w:asciiTheme="minorHAnsi" w:hAnsiTheme="minorHAnsi" w:cstheme="minorHAnsi"/>
                <w:sz w:val="16"/>
                <w:szCs w:val="16"/>
              </w:rPr>
              <w:t>130,000</w:t>
            </w:r>
          </w:p>
        </w:tc>
        <w:tc>
          <w:tcPr>
            <w:tcW w:w="224" w:type="pct"/>
            <w:vAlign w:val="center"/>
          </w:tcPr>
          <w:p w14:paraId="7FBF8AC1" w14:textId="2C6C7B0A" w:rsidR="00D82177" w:rsidRPr="00D23213" w:rsidRDefault="00D82177" w:rsidP="00D82177">
            <w:pPr>
              <w:rPr>
                <w:rFonts w:asciiTheme="minorHAnsi" w:hAnsiTheme="minorHAnsi" w:cstheme="minorHAnsi"/>
                <w:sz w:val="16"/>
                <w:szCs w:val="16"/>
              </w:rPr>
            </w:pPr>
            <w:r w:rsidRPr="00D23213">
              <w:rPr>
                <w:rFonts w:asciiTheme="minorHAnsi" w:hAnsiTheme="minorHAnsi" w:cstheme="minorHAnsi"/>
                <w:sz w:val="16"/>
                <w:szCs w:val="16"/>
              </w:rPr>
              <w:t>JLS</w:t>
            </w:r>
          </w:p>
        </w:tc>
        <w:tc>
          <w:tcPr>
            <w:tcW w:w="331" w:type="pct"/>
            <w:vAlign w:val="center"/>
          </w:tcPr>
          <w:p w14:paraId="723AF97C" w14:textId="58B8EAB9" w:rsidR="00D82177" w:rsidRPr="00D23213" w:rsidRDefault="00D82177" w:rsidP="00D82177">
            <w:pPr>
              <w:rPr>
                <w:rFonts w:asciiTheme="minorHAnsi" w:hAnsiTheme="minorHAnsi" w:cstheme="minorHAnsi"/>
                <w:sz w:val="16"/>
                <w:szCs w:val="16"/>
              </w:rPr>
            </w:pPr>
            <w:r w:rsidRPr="00D23213">
              <w:rPr>
                <w:rFonts w:asciiTheme="minorHAnsi" w:hAnsiTheme="minorHAnsi" w:cstheme="minorHAnsi"/>
                <w:sz w:val="16"/>
                <w:szCs w:val="16"/>
              </w:rPr>
              <w:t> </w:t>
            </w:r>
          </w:p>
        </w:tc>
        <w:tc>
          <w:tcPr>
            <w:tcW w:w="363" w:type="pct"/>
            <w:vAlign w:val="center"/>
          </w:tcPr>
          <w:p w14:paraId="5B81EF20" w14:textId="4911AEF9" w:rsidR="00D82177" w:rsidRPr="00D23213" w:rsidRDefault="00D82177" w:rsidP="00D82177">
            <w:pPr>
              <w:rPr>
                <w:rFonts w:asciiTheme="minorHAnsi" w:hAnsiTheme="minorHAnsi" w:cstheme="minorHAnsi"/>
                <w:sz w:val="16"/>
                <w:szCs w:val="16"/>
              </w:rPr>
            </w:pPr>
            <w:r w:rsidRPr="00D23213">
              <w:rPr>
                <w:rFonts w:asciiTheme="minorHAnsi" w:hAnsiTheme="minorHAnsi" w:cstheme="minorHAnsi"/>
                <w:sz w:val="16"/>
                <w:szCs w:val="16"/>
              </w:rPr>
              <w:t> </w:t>
            </w:r>
          </w:p>
        </w:tc>
      </w:tr>
      <w:tr w:rsidR="00D23213" w:rsidRPr="00D23213" w14:paraId="4EF99162" w14:textId="77777777" w:rsidTr="008A4A03">
        <w:trPr>
          <w:trHeight w:val="64"/>
        </w:trPr>
        <w:tc>
          <w:tcPr>
            <w:tcW w:w="211" w:type="pct"/>
            <w:textDirection w:val="btLr"/>
            <w:vAlign w:val="center"/>
          </w:tcPr>
          <w:p w14:paraId="56FD0F4D" w14:textId="4FBBB959"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2/Sec 2.3</w:t>
            </w:r>
          </w:p>
        </w:tc>
        <w:tc>
          <w:tcPr>
            <w:tcW w:w="626" w:type="pct"/>
            <w:vAlign w:val="center"/>
          </w:tcPr>
          <w:p w14:paraId="4540E9FE" w14:textId="5253AEC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Izgradnja kapaciteta NVO sektora</w:t>
            </w:r>
            <w:r w:rsidR="00807983" w:rsidRPr="00D23213">
              <w:rPr>
                <w:rFonts w:asciiTheme="minorHAnsi" w:hAnsiTheme="minorHAnsi" w:cstheme="minorHAnsi"/>
                <w:sz w:val="16"/>
                <w:szCs w:val="16"/>
              </w:rPr>
              <w:t xml:space="preserve"> (2018-2020)</w:t>
            </w:r>
          </w:p>
        </w:tc>
        <w:tc>
          <w:tcPr>
            <w:tcW w:w="838" w:type="pct"/>
            <w:vAlign w:val="center"/>
          </w:tcPr>
          <w:p w14:paraId="665D9A20" w14:textId="113FA8A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Unapređeni kapaciteti za pripremu i implementaciju projekata najmanje X organizacija na podrušju opštine Prnjavor</w:t>
            </w:r>
          </w:p>
        </w:tc>
        <w:tc>
          <w:tcPr>
            <w:tcW w:w="503" w:type="pct"/>
            <w:vAlign w:val="center"/>
          </w:tcPr>
          <w:p w14:paraId="2FEEAA33" w14:textId="5236F74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600,000</w:t>
            </w:r>
          </w:p>
        </w:tc>
        <w:tc>
          <w:tcPr>
            <w:tcW w:w="279" w:type="pct"/>
            <w:vAlign w:val="center"/>
          </w:tcPr>
          <w:p w14:paraId="72042191" w14:textId="67BD27E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200,000</w:t>
            </w:r>
          </w:p>
        </w:tc>
        <w:tc>
          <w:tcPr>
            <w:tcW w:w="280" w:type="pct"/>
            <w:vAlign w:val="center"/>
          </w:tcPr>
          <w:p w14:paraId="2388BCFA" w14:textId="5EAF9BE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200,000</w:t>
            </w:r>
          </w:p>
        </w:tc>
        <w:tc>
          <w:tcPr>
            <w:tcW w:w="280" w:type="pct"/>
            <w:vAlign w:val="center"/>
          </w:tcPr>
          <w:p w14:paraId="4FC67BB1" w14:textId="11FD1AD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200,000</w:t>
            </w:r>
          </w:p>
        </w:tc>
        <w:tc>
          <w:tcPr>
            <w:tcW w:w="280" w:type="pct"/>
            <w:vAlign w:val="center"/>
          </w:tcPr>
          <w:p w14:paraId="0C8409F9" w14:textId="35FB010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600,000</w:t>
            </w:r>
          </w:p>
        </w:tc>
        <w:tc>
          <w:tcPr>
            <w:tcW w:w="224" w:type="pct"/>
            <w:vAlign w:val="center"/>
          </w:tcPr>
          <w:p w14:paraId="407F52AC" w14:textId="210197C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168" w:type="pct"/>
            <w:vAlign w:val="center"/>
          </w:tcPr>
          <w:p w14:paraId="6F9379AE" w14:textId="381B823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167" w:type="pct"/>
            <w:vAlign w:val="center"/>
          </w:tcPr>
          <w:p w14:paraId="07B00951" w14:textId="59E15F7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26" w:type="pct"/>
            <w:vAlign w:val="center"/>
          </w:tcPr>
          <w:p w14:paraId="07621AB5" w14:textId="0D6BEAA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59A740A8" w14:textId="1556F79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00686200" w14:textId="4464821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415200 - Sredstva za podsticaj i razvoj sporta, 415200 - Pomoć udruženjima iz oblasti kulture i ostalim udruženjima, 415200 - Finansiranje kola srpskih sestara, 415200 - Finansiranje Opštinske organizacije slijepih, 415200 Finansiranje SRD Ukrinski cvijet, 415200 - Pomoć udruženjima nacionalnih manjina i 415200 - Udruženj</w:t>
            </w:r>
            <w:r w:rsidRPr="00D23213">
              <w:rPr>
                <w:rFonts w:asciiTheme="minorHAnsi" w:hAnsiTheme="minorHAnsi" w:cstheme="minorHAnsi"/>
                <w:sz w:val="16"/>
                <w:szCs w:val="16"/>
              </w:rPr>
              <w:lastRenderedPageBreak/>
              <w:t>e penzionera</w:t>
            </w:r>
          </w:p>
        </w:tc>
        <w:tc>
          <w:tcPr>
            <w:tcW w:w="363" w:type="pct"/>
            <w:vAlign w:val="center"/>
          </w:tcPr>
          <w:p w14:paraId="3F843BDE" w14:textId="5EDF955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lastRenderedPageBreak/>
              <w:t>Odjeljenje za LER i društvene djelatnosti</w:t>
            </w:r>
          </w:p>
        </w:tc>
      </w:tr>
      <w:tr w:rsidR="00D23213" w:rsidRPr="00D23213" w14:paraId="00F701DE" w14:textId="77777777" w:rsidTr="008A4A03">
        <w:trPr>
          <w:trHeight w:val="64"/>
        </w:trPr>
        <w:tc>
          <w:tcPr>
            <w:tcW w:w="211" w:type="pct"/>
            <w:textDirection w:val="btLr"/>
            <w:vAlign w:val="center"/>
          </w:tcPr>
          <w:p w14:paraId="1320837A" w14:textId="21BA0184"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2/Sec 2.3</w:t>
            </w:r>
          </w:p>
        </w:tc>
        <w:tc>
          <w:tcPr>
            <w:tcW w:w="626" w:type="pct"/>
            <w:vAlign w:val="center"/>
          </w:tcPr>
          <w:p w14:paraId="61609112" w14:textId="77D8F5C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Izrada baze podataka o dijaspori i unapređenje komunikacije (2019)</w:t>
            </w:r>
          </w:p>
        </w:tc>
        <w:tc>
          <w:tcPr>
            <w:tcW w:w="838" w:type="pct"/>
            <w:vAlign w:val="center"/>
          </w:tcPr>
          <w:p w14:paraId="50AA50C1" w14:textId="595A92F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Unapređena komunikacija sa dijasporom korištenjem nove baze podataka</w:t>
            </w:r>
          </w:p>
        </w:tc>
        <w:tc>
          <w:tcPr>
            <w:tcW w:w="503" w:type="pct"/>
            <w:vAlign w:val="center"/>
          </w:tcPr>
          <w:p w14:paraId="30E8E790" w14:textId="02C3D68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79" w:type="pct"/>
            <w:vAlign w:val="center"/>
          </w:tcPr>
          <w:p w14:paraId="720844EB" w14:textId="4D131F6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4248E1C2" w14:textId="5552D54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0109A905" w14:textId="6099176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80" w:type="pct"/>
            <w:vAlign w:val="center"/>
          </w:tcPr>
          <w:p w14:paraId="6AA5DA9D" w14:textId="50696B6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77C0A2E8" w14:textId="001587B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168" w:type="pct"/>
            <w:vAlign w:val="center"/>
          </w:tcPr>
          <w:p w14:paraId="34369CD6" w14:textId="65C8F23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167" w:type="pct"/>
            <w:vAlign w:val="center"/>
          </w:tcPr>
          <w:p w14:paraId="2E2B8FA4" w14:textId="1BA965D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26" w:type="pct"/>
            <w:vAlign w:val="center"/>
          </w:tcPr>
          <w:p w14:paraId="58324E82" w14:textId="1B6A900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0</w:t>
            </w:r>
          </w:p>
        </w:tc>
        <w:tc>
          <w:tcPr>
            <w:tcW w:w="224" w:type="pct"/>
            <w:vAlign w:val="center"/>
          </w:tcPr>
          <w:p w14:paraId="1CFAB974" w14:textId="4270A3B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31" w:type="pct"/>
            <w:vAlign w:val="center"/>
          </w:tcPr>
          <w:p w14:paraId="59A96404" w14:textId="7645620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63" w:type="pct"/>
            <w:vAlign w:val="center"/>
          </w:tcPr>
          <w:p w14:paraId="526ED53A" w14:textId="5ECF338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r>
      <w:tr w:rsidR="00D23213" w:rsidRPr="00D23213" w14:paraId="725D9E39" w14:textId="77777777" w:rsidTr="008A4A03">
        <w:trPr>
          <w:trHeight w:val="64"/>
        </w:trPr>
        <w:tc>
          <w:tcPr>
            <w:tcW w:w="211" w:type="pct"/>
            <w:textDirection w:val="btLr"/>
            <w:vAlign w:val="center"/>
          </w:tcPr>
          <w:p w14:paraId="58AF7FE8" w14:textId="2DC22CAF"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3/Sec 3.1</w:t>
            </w:r>
          </w:p>
        </w:tc>
        <w:tc>
          <w:tcPr>
            <w:tcW w:w="626" w:type="pct"/>
            <w:vAlign w:val="center"/>
          </w:tcPr>
          <w:p w14:paraId="5FCACD7C" w14:textId="0D3900A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Izgradnja pretovarne stanice čvrstog otpada za opštinu Prnjavor (2019-2020)</w:t>
            </w:r>
          </w:p>
        </w:tc>
        <w:tc>
          <w:tcPr>
            <w:tcW w:w="838" w:type="pct"/>
            <w:vAlign w:val="center"/>
          </w:tcPr>
          <w:p w14:paraId="0239EA10" w14:textId="5EDAE0A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Uspostavljena funkcionalna pretovarna stanica</w:t>
            </w:r>
          </w:p>
        </w:tc>
        <w:tc>
          <w:tcPr>
            <w:tcW w:w="503" w:type="pct"/>
            <w:vAlign w:val="center"/>
          </w:tcPr>
          <w:p w14:paraId="02D51D64" w14:textId="0DE96CA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100,000</w:t>
            </w:r>
          </w:p>
        </w:tc>
        <w:tc>
          <w:tcPr>
            <w:tcW w:w="279" w:type="pct"/>
            <w:vAlign w:val="center"/>
          </w:tcPr>
          <w:p w14:paraId="44D533F0" w14:textId="0E2F1221"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p>
        </w:tc>
        <w:tc>
          <w:tcPr>
            <w:tcW w:w="280" w:type="pct"/>
            <w:vAlign w:val="center"/>
          </w:tcPr>
          <w:p w14:paraId="423647EA" w14:textId="3ED7396E"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80" w:type="pct"/>
            <w:vAlign w:val="center"/>
          </w:tcPr>
          <w:p w14:paraId="3771A404" w14:textId="61C308B3"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80" w:type="pct"/>
            <w:vAlign w:val="center"/>
          </w:tcPr>
          <w:p w14:paraId="1DADF649" w14:textId="1231AFC5"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35CE1747" w14:textId="0585B470"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168" w:type="pct"/>
            <w:vAlign w:val="center"/>
          </w:tcPr>
          <w:p w14:paraId="3E5FC095" w14:textId="7567F058"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p>
        </w:tc>
        <w:tc>
          <w:tcPr>
            <w:tcW w:w="167" w:type="pct"/>
            <w:vAlign w:val="center"/>
          </w:tcPr>
          <w:p w14:paraId="7A6BDA09" w14:textId="2F7C60FF"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p>
        </w:tc>
        <w:tc>
          <w:tcPr>
            <w:tcW w:w="226" w:type="pct"/>
            <w:vAlign w:val="center"/>
          </w:tcPr>
          <w:p w14:paraId="1698772B" w14:textId="51A1E862"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722075AC" w14:textId="78A6B06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31" w:type="pct"/>
            <w:vAlign w:val="center"/>
          </w:tcPr>
          <w:p w14:paraId="624F4B82" w14:textId="2DC95BC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63" w:type="pct"/>
            <w:vAlign w:val="center"/>
          </w:tcPr>
          <w:p w14:paraId="1710962B" w14:textId="20D2690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r>
      <w:tr w:rsidR="00D23213" w:rsidRPr="00D23213" w14:paraId="03D012B3" w14:textId="77777777" w:rsidTr="008A4A03">
        <w:trPr>
          <w:trHeight w:val="64"/>
        </w:trPr>
        <w:tc>
          <w:tcPr>
            <w:tcW w:w="211" w:type="pct"/>
            <w:textDirection w:val="btLr"/>
            <w:vAlign w:val="center"/>
          </w:tcPr>
          <w:p w14:paraId="778CB9F6" w14:textId="4EF9A0BA"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3/Sec 3.1</w:t>
            </w:r>
          </w:p>
        </w:tc>
        <w:tc>
          <w:tcPr>
            <w:tcW w:w="626" w:type="pct"/>
            <w:vAlign w:val="center"/>
          </w:tcPr>
          <w:p w14:paraId="6CC71710" w14:textId="5997CE8B"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Formiranje centra za sakupljanje otpada pogodnog za reciklažu (2019-2020)</w:t>
            </w:r>
          </w:p>
        </w:tc>
        <w:tc>
          <w:tcPr>
            <w:tcW w:w="838" w:type="pct"/>
            <w:vAlign w:val="center"/>
          </w:tcPr>
          <w:p w14:paraId="2CCCB507" w14:textId="2FDB959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Uspostavljen centar za sakupljanje otpada pogodnog za reciklažu</w:t>
            </w:r>
          </w:p>
        </w:tc>
        <w:tc>
          <w:tcPr>
            <w:tcW w:w="503" w:type="pct"/>
            <w:vAlign w:val="center"/>
          </w:tcPr>
          <w:p w14:paraId="44499CE4" w14:textId="1605CB2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100,000</w:t>
            </w:r>
          </w:p>
        </w:tc>
        <w:tc>
          <w:tcPr>
            <w:tcW w:w="279" w:type="pct"/>
            <w:vAlign w:val="center"/>
          </w:tcPr>
          <w:p w14:paraId="5714BE61" w14:textId="1730CBE5"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p>
        </w:tc>
        <w:tc>
          <w:tcPr>
            <w:tcW w:w="280" w:type="pct"/>
            <w:vAlign w:val="center"/>
          </w:tcPr>
          <w:p w14:paraId="51D86A20" w14:textId="460AD3ED"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80" w:type="pct"/>
            <w:vAlign w:val="center"/>
          </w:tcPr>
          <w:p w14:paraId="766C3420" w14:textId="28710CBB"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80" w:type="pct"/>
            <w:vAlign w:val="center"/>
          </w:tcPr>
          <w:p w14:paraId="30189C0C" w14:textId="14022F6A"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3B274BE8" w14:textId="4B5CD7F5"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168" w:type="pct"/>
            <w:vAlign w:val="center"/>
          </w:tcPr>
          <w:p w14:paraId="6D97CB0F" w14:textId="43D5C279"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p>
        </w:tc>
        <w:tc>
          <w:tcPr>
            <w:tcW w:w="167" w:type="pct"/>
            <w:vAlign w:val="center"/>
          </w:tcPr>
          <w:p w14:paraId="7355FF19" w14:textId="7A926815"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p>
        </w:tc>
        <w:tc>
          <w:tcPr>
            <w:tcW w:w="226" w:type="pct"/>
            <w:vAlign w:val="center"/>
          </w:tcPr>
          <w:p w14:paraId="45285DA4" w14:textId="5DAFDC72"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389D2449" w14:textId="431366C4"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31" w:type="pct"/>
            <w:vAlign w:val="center"/>
          </w:tcPr>
          <w:p w14:paraId="7F85D7D6" w14:textId="5A5A3C6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63" w:type="pct"/>
            <w:vAlign w:val="center"/>
          </w:tcPr>
          <w:p w14:paraId="4CB62C58" w14:textId="52CC150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r>
      <w:tr w:rsidR="00D23213" w:rsidRPr="00D23213" w14:paraId="045D9DE3" w14:textId="77777777" w:rsidTr="008A4A03">
        <w:trPr>
          <w:trHeight w:val="64"/>
        </w:trPr>
        <w:tc>
          <w:tcPr>
            <w:tcW w:w="211" w:type="pct"/>
            <w:textDirection w:val="btLr"/>
            <w:vAlign w:val="center"/>
          </w:tcPr>
          <w:p w14:paraId="7F265476" w14:textId="7750153F"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3/Sec 3.1</w:t>
            </w:r>
          </w:p>
        </w:tc>
        <w:tc>
          <w:tcPr>
            <w:tcW w:w="626" w:type="pct"/>
            <w:vAlign w:val="center"/>
          </w:tcPr>
          <w:p w14:paraId="7C832DF9" w14:textId="564C0FE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Azil za životinje (2018-2020)</w:t>
            </w:r>
          </w:p>
        </w:tc>
        <w:tc>
          <w:tcPr>
            <w:tcW w:w="838" w:type="pct"/>
            <w:vAlign w:val="center"/>
          </w:tcPr>
          <w:p w14:paraId="4F879414" w14:textId="3F0B71E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Uspostavljen azil za životinje</w:t>
            </w:r>
          </w:p>
        </w:tc>
        <w:tc>
          <w:tcPr>
            <w:tcW w:w="503" w:type="pct"/>
            <w:vAlign w:val="center"/>
          </w:tcPr>
          <w:p w14:paraId="1F48AF64" w14:textId="351E7CD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150,000</w:t>
            </w:r>
          </w:p>
        </w:tc>
        <w:tc>
          <w:tcPr>
            <w:tcW w:w="279" w:type="pct"/>
            <w:vAlign w:val="center"/>
          </w:tcPr>
          <w:p w14:paraId="427D46ED" w14:textId="32E1A1F1"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80" w:type="pct"/>
            <w:vAlign w:val="center"/>
          </w:tcPr>
          <w:p w14:paraId="5B16C365" w14:textId="150E6961"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80" w:type="pct"/>
            <w:vAlign w:val="center"/>
          </w:tcPr>
          <w:p w14:paraId="1352D69B" w14:textId="64ED6502"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80" w:type="pct"/>
            <w:vAlign w:val="center"/>
          </w:tcPr>
          <w:p w14:paraId="6BFFB4C6" w14:textId="0248F577"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4BC7002C" w14:textId="3EA8F421"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168" w:type="pct"/>
            <w:vAlign w:val="center"/>
          </w:tcPr>
          <w:p w14:paraId="2C5E75B9" w14:textId="684D2A5E"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167" w:type="pct"/>
            <w:vAlign w:val="center"/>
          </w:tcPr>
          <w:p w14:paraId="3ED6F69A" w14:textId="68498C82"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226" w:type="pct"/>
            <w:vAlign w:val="center"/>
          </w:tcPr>
          <w:p w14:paraId="57BF34DB" w14:textId="044F4F44"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5D5B9743" w14:textId="7A4FB70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1DC6E026" w14:textId="5F2DBA0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412700 - Sredstva za zbrinjavanje i neškodljivo odstranjivanje pasa lutalica - azil</w:t>
            </w:r>
          </w:p>
        </w:tc>
        <w:tc>
          <w:tcPr>
            <w:tcW w:w="363" w:type="pct"/>
            <w:vAlign w:val="center"/>
          </w:tcPr>
          <w:p w14:paraId="7191E07A" w14:textId="7846456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inspekcijske poslove</w:t>
            </w:r>
          </w:p>
        </w:tc>
      </w:tr>
      <w:tr w:rsidR="00D23213" w:rsidRPr="00D23213" w14:paraId="37078CED" w14:textId="77777777" w:rsidTr="008A4A03">
        <w:trPr>
          <w:trHeight w:val="64"/>
        </w:trPr>
        <w:tc>
          <w:tcPr>
            <w:tcW w:w="211" w:type="pct"/>
            <w:textDirection w:val="btLr"/>
            <w:vAlign w:val="center"/>
          </w:tcPr>
          <w:p w14:paraId="00382773" w14:textId="6DA84BF3"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3/Sec 3.1</w:t>
            </w:r>
          </w:p>
        </w:tc>
        <w:tc>
          <w:tcPr>
            <w:tcW w:w="626" w:type="pct"/>
            <w:vAlign w:val="center"/>
          </w:tcPr>
          <w:p w14:paraId="054E1251" w14:textId="6C768F2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Uređenje i razvoj rekreativne zone „Ljubić“ (2018-2020)</w:t>
            </w:r>
          </w:p>
        </w:tc>
        <w:tc>
          <w:tcPr>
            <w:tcW w:w="838" w:type="pct"/>
            <w:vAlign w:val="center"/>
          </w:tcPr>
          <w:p w14:paraId="1F214EFF" w14:textId="1B5FB2C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Uspostavljen ekološki informaciono – edukativni centar opštine Prnjavor čije usluge koristi najmanje X mladih i X organizacija godišnje</w:t>
            </w:r>
          </w:p>
        </w:tc>
        <w:tc>
          <w:tcPr>
            <w:tcW w:w="503" w:type="pct"/>
            <w:vAlign w:val="center"/>
          </w:tcPr>
          <w:p w14:paraId="5BE05CDF" w14:textId="41593DE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24,185</w:t>
            </w:r>
          </w:p>
        </w:tc>
        <w:tc>
          <w:tcPr>
            <w:tcW w:w="279" w:type="pct"/>
            <w:vAlign w:val="center"/>
          </w:tcPr>
          <w:p w14:paraId="4957AE91" w14:textId="43FD93BF"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80" w:type="pct"/>
            <w:vAlign w:val="center"/>
          </w:tcPr>
          <w:p w14:paraId="43D0C0D9" w14:textId="7219E518"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80" w:type="pct"/>
            <w:vAlign w:val="center"/>
          </w:tcPr>
          <w:p w14:paraId="3A832C4F" w14:textId="6676D156"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80" w:type="pct"/>
            <w:vAlign w:val="center"/>
          </w:tcPr>
          <w:p w14:paraId="5547A69E" w14:textId="7749C7C0"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38CFE606" w14:textId="71A0A424"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168" w:type="pct"/>
            <w:vAlign w:val="center"/>
          </w:tcPr>
          <w:p w14:paraId="1AB839DE" w14:textId="76685B9D"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167" w:type="pct"/>
            <w:vAlign w:val="center"/>
          </w:tcPr>
          <w:p w14:paraId="2890AA47" w14:textId="537F0D0F" w:rsidR="0013614F" w:rsidRPr="00D23213" w:rsidRDefault="00B308B6"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r w:rsidR="0013614F" w:rsidRPr="00D23213">
              <w:rPr>
                <w:rFonts w:asciiTheme="minorHAnsi" w:hAnsiTheme="minorHAnsi" w:cstheme="minorHAnsi"/>
                <w:sz w:val="16"/>
                <w:szCs w:val="16"/>
                <w:highlight w:val="yellow"/>
              </w:rPr>
              <w:t> </w:t>
            </w:r>
          </w:p>
        </w:tc>
        <w:tc>
          <w:tcPr>
            <w:tcW w:w="226" w:type="pct"/>
            <w:vAlign w:val="center"/>
          </w:tcPr>
          <w:p w14:paraId="50E13B36" w14:textId="01EB3274"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6BA96327" w14:textId="3AE2713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31" w:type="pct"/>
            <w:vAlign w:val="center"/>
          </w:tcPr>
          <w:p w14:paraId="5C4DB585" w14:textId="1C1E265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63" w:type="pct"/>
            <w:vAlign w:val="center"/>
          </w:tcPr>
          <w:p w14:paraId="2C398DF4" w14:textId="4BB0DB6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r>
      <w:tr w:rsidR="00D23213" w:rsidRPr="00D23213" w14:paraId="4B5839BA" w14:textId="77777777" w:rsidTr="008A4A03">
        <w:trPr>
          <w:trHeight w:val="64"/>
        </w:trPr>
        <w:tc>
          <w:tcPr>
            <w:tcW w:w="211" w:type="pct"/>
            <w:textDirection w:val="btLr"/>
            <w:vAlign w:val="center"/>
          </w:tcPr>
          <w:p w14:paraId="5CA64FCC" w14:textId="17A88BB4"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3/Sec 3.1</w:t>
            </w:r>
          </w:p>
        </w:tc>
        <w:tc>
          <w:tcPr>
            <w:tcW w:w="626" w:type="pct"/>
            <w:vAlign w:val="center"/>
          </w:tcPr>
          <w:p w14:paraId="7350350D" w14:textId="3804487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Izrada opštinskog plana upravljanja otpadom (2018-2019)</w:t>
            </w:r>
          </w:p>
        </w:tc>
        <w:tc>
          <w:tcPr>
            <w:tcW w:w="838" w:type="pct"/>
            <w:vAlign w:val="center"/>
          </w:tcPr>
          <w:p w14:paraId="67101BCC" w14:textId="175DC3E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Izrađen i usvojen dokument</w:t>
            </w:r>
          </w:p>
        </w:tc>
        <w:tc>
          <w:tcPr>
            <w:tcW w:w="503" w:type="pct"/>
            <w:vAlign w:val="center"/>
          </w:tcPr>
          <w:p w14:paraId="7007467C" w14:textId="0331E66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w:t>
            </w:r>
          </w:p>
        </w:tc>
        <w:tc>
          <w:tcPr>
            <w:tcW w:w="279" w:type="pct"/>
            <w:vAlign w:val="center"/>
          </w:tcPr>
          <w:p w14:paraId="6227FA08" w14:textId="64810616"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80" w:type="pct"/>
            <w:vAlign w:val="center"/>
          </w:tcPr>
          <w:p w14:paraId="32AFEFD4" w14:textId="44D36537"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80" w:type="pct"/>
            <w:vAlign w:val="center"/>
          </w:tcPr>
          <w:p w14:paraId="22907993" w14:textId="3BCA2BFD"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280" w:type="pct"/>
            <w:vAlign w:val="center"/>
          </w:tcPr>
          <w:p w14:paraId="1B94C2EA" w14:textId="096096C0"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35063B90" w14:textId="36FB31FB"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168" w:type="pct"/>
            <w:vAlign w:val="center"/>
          </w:tcPr>
          <w:p w14:paraId="4B27D1C3" w14:textId="5DB9399C"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167" w:type="pct"/>
            <w:vAlign w:val="center"/>
          </w:tcPr>
          <w:p w14:paraId="51A7067F" w14:textId="25E3F4D5"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p>
        </w:tc>
        <w:tc>
          <w:tcPr>
            <w:tcW w:w="226" w:type="pct"/>
            <w:vAlign w:val="center"/>
          </w:tcPr>
          <w:p w14:paraId="0FB11C1E" w14:textId="35345D15"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1890668B" w14:textId="5ADCC59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31" w:type="pct"/>
            <w:vAlign w:val="center"/>
          </w:tcPr>
          <w:p w14:paraId="76BAAC73" w14:textId="629447C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63" w:type="pct"/>
            <w:vAlign w:val="center"/>
          </w:tcPr>
          <w:p w14:paraId="72769C54" w14:textId="6D91AF8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r>
      <w:tr w:rsidR="00D23213" w:rsidRPr="00D23213" w14:paraId="113AAB61" w14:textId="77777777" w:rsidTr="008A4A03">
        <w:trPr>
          <w:trHeight w:val="64"/>
        </w:trPr>
        <w:tc>
          <w:tcPr>
            <w:tcW w:w="211" w:type="pct"/>
            <w:textDirection w:val="btLr"/>
            <w:vAlign w:val="center"/>
          </w:tcPr>
          <w:p w14:paraId="4AF01916" w14:textId="2C613465"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3/Sec 3.2</w:t>
            </w:r>
          </w:p>
        </w:tc>
        <w:tc>
          <w:tcPr>
            <w:tcW w:w="626" w:type="pct"/>
            <w:vAlign w:val="center"/>
          </w:tcPr>
          <w:p w14:paraId="77FF40BF" w14:textId="2823CFE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Izrada opštinskog programa zaštite vazduha i izgradnja kapaciteta za praćenje kvaliteta vazduha (2019-2020)</w:t>
            </w:r>
          </w:p>
        </w:tc>
        <w:tc>
          <w:tcPr>
            <w:tcW w:w="838" w:type="pct"/>
            <w:vAlign w:val="center"/>
          </w:tcPr>
          <w:p w14:paraId="1663E4D6" w14:textId="00EB86C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Postavljena oprema i definisane procedure i raspored zadataka na praćenju kvaliteta vazduha</w:t>
            </w:r>
            <w:r w:rsidRPr="00D23213">
              <w:rPr>
                <w:rFonts w:asciiTheme="minorHAnsi" w:hAnsiTheme="minorHAnsi" w:cstheme="minorHAnsi"/>
                <w:sz w:val="16"/>
                <w:szCs w:val="16"/>
              </w:rPr>
              <w:br/>
              <w:t>Povećan stepen korištenja obnovljivih izvora energije za grijanje javnih objekata</w:t>
            </w:r>
          </w:p>
        </w:tc>
        <w:tc>
          <w:tcPr>
            <w:tcW w:w="503" w:type="pct"/>
            <w:vAlign w:val="center"/>
          </w:tcPr>
          <w:p w14:paraId="114EAC8D" w14:textId="669EE43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40,000</w:t>
            </w:r>
          </w:p>
        </w:tc>
        <w:tc>
          <w:tcPr>
            <w:tcW w:w="279" w:type="pct"/>
            <w:vAlign w:val="center"/>
          </w:tcPr>
          <w:p w14:paraId="123E69A7" w14:textId="5B8BD673"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280" w:type="pct"/>
            <w:vAlign w:val="center"/>
          </w:tcPr>
          <w:p w14:paraId="7F67E9A1" w14:textId="1B380E97"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280" w:type="pct"/>
            <w:vAlign w:val="center"/>
          </w:tcPr>
          <w:p w14:paraId="507ACE02" w14:textId="2A48D39C"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280" w:type="pct"/>
            <w:vAlign w:val="center"/>
          </w:tcPr>
          <w:p w14:paraId="123DFAC5" w14:textId="7056BC15"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6ECA1B73" w14:textId="34E3AFF8"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168" w:type="pct"/>
            <w:vAlign w:val="center"/>
          </w:tcPr>
          <w:p w14:paraId="5A8BFA58" w14:textId="49454ACE"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167" w:type="pct"/>
            <w:vAlign w:val="center"/>
          </w:tcPr>
          <w:p w14:paraId="470FEDA4" w14:textId="57AB9578"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226" w:type="pct"/>
            <w:vAlign w:val="center"/>
          </w:tcPr>
          <w:p w14:paraId="491C8717" w14:textId="77AB73A3"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66776761" w14:textId="09077D8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0DC5CEE8" w14:textId="7F6843FD"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63" w:type="pct"/>
            <w:vAlign w:val="center"/>
          </w:tcPr>
          <w:p w14:paraId="789F4583" w14:textId="5E0542D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prostorno uređenje</w:t>
            </w:r>
          </w:p>
        </w:tc>
      </w:tr>
      <w:tr w:rsidR="00D23213" w:rsidRPr="00D23213" w14:paraId="11677A0B" w14:textId="77777777" w:rsidTr="008A4A03">
        <w:trPr>
          <w:trHeight w:val="64"/>
        </w:trPr>
        <w:tc>
          <w:tcPr>
            <w:tcW w:w="211" w:type="pct"/>
            <w:textDirection w:val="btLr"/>
            <w:vAlign w:val="center"/>
          </w:tcPr>
          <w:p w14:paraId="3F930E26" w14:textId="78A64DAD"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lastRenderedPageBreak/>
              <w:t>SC 3/Sec 3.2</w:t>
            </w:r>
          </w:p>
        </w:tc>
        <w:tc>
          <w:tcPr>
            <w:tcW w:w="626" w:type="pct"/>
            <w:vAlign w:val="center"/>
          </w:tcPr>
          <w:p w14:paraId="07928DDE" w14:textId="1EFECB8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Energetska efikasnost javnih objekata (2019-2020)</w:t>
            </w:r>
          </w:p>
        </w:tc>
        <w:tc>
          <w:tcPr>
            <w:tcW w:w="838" w:type="pct"/>
            <w:vAlign w:val="center"/>
          </w:tcPr>
          <w:p w14:paraId="1C592AC2" w14:textId="2FD2C04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Izvedeni radovi na unapređenju energetske efikasnosti prioritetnih javnih objekata -termoizolacija javnih objekata i uvedena LED rasvjeta</w:t>
            </w:r>
            <w:r w:rsidRPr="00D23213">
              <w:rPr>
                <w:rFonts w:asciiTheme="minorHAnsi" w:hAnsiTheme="minorHAnsi" w:cstheme="minorHAnsi"/>
                <w:sz w:val="16"/>
                <w:szCs w:val="16"/>
              </w:rPr>
              <w:br/>
              <w:t>Unaprijeđeni sistemi grijanja i snabdijevanja potrošnom toplom vodom</w:t>
            </w:r>
          </w:p>
        </w:tc>
        <w:tc>
          <w:tcPr>
            <w:tcW w:w="503" w:type="pct"/>
            <w:vAlign w:val="center"/>
          </w:tcPr>
          <w:p w14:paraId="23CA154B" w14:textId="432638A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300,000</w:t>
            </w:r>
          </w:p>
        </w:tc>
        <w:tc>
          <w:tcPr>
            <w:tcW w:w="279" w:type="pct"/>
            <w:vAlign w:val="center"/>
          </w:tcPr>
          <w:p w14:paraId="1A9F964C" w14:textId="6399B1B0"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280" w:type="pct"/>
            <w:vAlign w:val="center"/>
          </w:tcPr>
          <w:p w14:paraId="77558FFD" w14:textId="25314BCF"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280" w:type="pct"/>
            <w:vAlign w:val="center"/>
          </w:tcPr>
          <w:p w14:paraId="2881C776" w14:textId="2D12C712"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280" w:type="pct"/>
            <w:vAlign w:val="center"/>
          </w:tcPr>
          <w:p w14:paraId="15CDB8BC" w14:textId="793A9C6F"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1034C6FC" w14:textId="07802702"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168" w:type="pct"/>
            <w:vAlign w:val="center"/>
          </w:tcPr>
          <w:p w14:paraId="53C27E59" w14:textId="22C0DB5C"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B308B6" w:rsidRPr="00D23213">
              <w:rPr>
                <w:rFonts w:asciiTheme="minorHAnsi" w:hAnsiTheme="minorHAnsi" w:cstheme="minorHAnsi"/>
                <w:sz w:val="16"/>
                <w:szCs w:val="16"/>
                <w:highlight w:val="yellow"/>
              </w:rPr>
              <w:t>0</w:t>
            </w:r>
          </w:p>
        </w:tc>
        <w:tc>
          <w:tcPr>
            <w:tcW w:w="167" w:type="pct"/>
            <w:vAlign w:val="center"/>
          </w:tcPr>
          <w:p w14:paraId="6775FD23" w14:textId="0E78AB62" w:rsidR="0013614F" w:rsidRPr="00D23213" w:rsidRDefault="00B308B6"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r w:rsidR="0013614F" w:rsidRPr="00D23213">
              <w:rPr>
                <w:rFonts w:asciiTheme="minorHAnsi" w:hAnsiTheme="minorHAnsi" w:cstheme="minorHAnsi"/>
                <w:sz w:val="16"/>
                <w:szCs w:val="16"/>
                <w:highlight w:val="yellow"/>
              </w:rPr>
              <w:t> </w:t>
            </w:r>
          </w:p>
        </w:tc>
        <w:tc>
          <w:tcPr>
            <w:tcW w:w="226" w:type="pct"/>
            <w:vAlign w:val="center"/>
          </w:tcPr>
          <w:p w14:paraId="347D1BA1" w14:textId="0E76C566"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3E99C941" w14:textId="0AE1E46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31" w:type="pct"/>
            <w:vAlign w:val="center"/>
          </w:tcPr>
          <w:p w14:paraId="2CCA8D51" w14:textId="170358D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63" w:type="pct"/>
            <w:vAlign w:val="center"/>
          </w:tcPr>
          <w:p w14:paraId="719C39EF" w14:textId="7675319C"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r>
      <w:tr w:rsidR="00D23213" w:rsidRPr="00D23213" w14:paraId="34264AD9" w14:textId="77777777" w:rsidTr="008A4A03">
        <w:trPr>
          <w:trHeight w:val="64"/>
        </w:trPr>
        <w:tc>
          <w:tcPr>
            <w:tcW w:w="211" w:type="pct"/>
            <w:textDirection w:val="btLr"/>
            <w:vAlign w:val="center"/>
          </w:tcPr>
          <w:p w14:paraId="66D68179" w14:textId="2C5863F8"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3/Sec 3.3</w:t>
            </w:r>
          </w:p>
        </w:tc>
        <w:tc>
          <w:tcPr>
            <w:tcW w:w="626" w:type="pct"/>
            <w:vAlign w:val="center"/>
          </w:tcPr>
          <w:p w14:paraId="4E31F6B1" w14:textId="7AC7BAA1"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Uređenje sliva rijeke Ukrine u cilju zaštite od poplava (2018</w:t>
            </w:r>
            <w:r w:rsidR="00B308B6" w:rsidRPr="00D23213">
              <w:rPr>
                <w:rFonts w:asciiTheme="minorHAnsi" w:hAnsiTheme="minorHAnsi" w:cstheme="minorHAnsi"/>
                <w:sz w:val="16"/>
                <w:szCs w:val="16"/>
              </w:rPr>
              <w:t>-2020</w:t>
            </w:r>
            <w:r w:rsidRPr="00D23213">
              <w:rPr>
                <w:rFonts w:asciiTheme="minorHAnsi" w:hAnsiTheme="minorHAnsi" w:cstheme="minorHAnsi"/>
                <w:sz w:val="16"/>
                <w:szCs w:val="16"/>
              </w:rPr>
              <w:t>)</w:t>
            </w:r>
          </w:p>
        </w:tc>
        <w:tc>
          <w:tcPr>
            <w:tcW w:w="838" w:type="pct"/>
            <w:vAlign w:val="center"/>
          </w:tcPr>
          <w:p w14:paraId="6DD1C82D" w14:textId="5356CD8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Unapređena zaštita od poplava za površinu od X km2 u slivu Ukrine (5 km Ukrina, 5 km Vijaka)</w:t>
            </w:r>
          </w:p>
        </w:tc>
        <w:tc>
          <w:tcPr>
            <w:tcW w:w="503" w:type="pct"/>
            <w:vAlign w:val="center"/>
          </w:tcPr>
          <w:p w14:paraId="23F96B6C" w14:textId="44179BB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1,061,500</w:t>
            </w:r>
          </w:p>
        </w:tc>
        <w:tc>
          <w:tcPr>
            <w:tcW w:w="279" w:type="pct"/>
            <w:vAlign w:val="center"/>
          </w:tcPr>
          <w:p w14:paraId="329AD87D" w14:textId="589057BE"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21,500</w:t>
            </w:r>
          </w:p>
        </w:tc>
        <w:tc>
          <w:tcPr>
            <w:tcW w:w="280" w:type="pct"/>
            <w:vAlign w:val="center"/>
          </w:tcPr>
          <w:p w14:paraId="79700D79" w14:textId="3482F2F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20,000</w:t>
            </w:r>
          </w:p>
        </w:tc>
        <w:tc>
          <w:tcPr>
            <w:tcW w:w="280" w:type="pct"/>
            <w:vAlign w:val="center"/>
          </w:tcPr>
          <w:p w14:paraId="5AC1C188" w14:textId="1EAF802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20,000</w:t>
            </w:r>
          </w:p>
        </w:tc>
        <w:tc>
          <w:tcPr>
            <w:tcW w:w="280" w:type="pct"/>
            <w:vAlign w:val="center"/>
          </w:tcPr>
          <w:p w14:paraId="562A71DF" w14:textId="4DD498F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61,500</w:t>
            </w:r>
          </w:p>
        </w:tc>
        <w:tc>
          <w:tcPr>
            <w:tcW w:w="224" w:type="pct"/>
            <w:vAlign w:val="center"/>
          </w:tcPr>
          <w:p w14:paraId="355F4E55" w14:textId="7D7F9013"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1,000,000</w:t>
            </w:r>
          </w:p>
        </w:tc>
        <w:tc>
          <w:tcPr>
            <w:tcW w:w="168" w:type="pct"/>
            <w:vAlign w:val="center"/>
          </w:tcPr>
          <w:p w14:paraId="244CCFF3" w14:textId="48561C1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167" w:type="pct"/>
            <w:vAlign w:val="center"/>
          </w:tcPr>
          <w:p w14:paraId="31D2522E" w14:textId="5857A77F"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r w:rsidR="00B308B6" w:rsidRPr="00D23213">
              <w:rPr>
                <w:rFonts w:asciiTheme="minorHAnsi" w:hAnsiTheme="minorHAnsi" w:cstheme="minorHAnsi"/>
                <w:sz w:val="16"/>
                <w:szCs w:val="16"/>
              </w:rPr>
              <w:t>0</w:t>
            </w:r>
          </w:p>
        </w:tc>
        <w:tc>
          <w:tcPr>
            <w:tcW w:w="226" w:type="pct"/>
            <w:vAlign w:val="center"/>
          </w:tcPr>
          <w:p w14:paraId="6CA76B53" w14:textId="6777E62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1,000,000</w:t>
            </w:r>
          </w:p>
        </w:tc>
        <w:tc>
          <w:tcPr>
            <w:tcW w:w="224" w:type="pct"/>
            <w:vAlign w:val="center"/>
          </w:tcPr>
          <w:p w14:paraId="6DCD4D54" w14:textId="08FD1C45"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781C8B38" w14:textId="71323A70"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412800- Uređenje korita rijeka i potoka iz namjenskih sredstava za vode KP Vodovod... 412700 - Izrada elaborata, studija, projekata iz namjenskih sredstava za vode</w:t>
            </w:r>
          </w:p>
        </w:tc>
        <w:tc>
          <w:tcPr>
            <w:tcW w:w="363" w:type="pct"/>
            <w:vAlign w:val="center"/>
          </w:tcPr>
          <w:p w14:paraId="7A15DF59" w14:textId="2EF8BD72"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poljoprivredu, vodoprivredu i šumarstvo i Odjeljenje za stambeno komunalne poslove i nvesticije</w:t>
            </w:r>
          </w:p>
        </w:tc>
      </w:tr>
      <w:tr w:rsidR="00D23213" w:rsidRPr="00D23213" w14:paraId="69EF1800" w14:textId="77777777" w:rsidTr="008A4A03">
        <w:trPr>
          <w:trHeight w:val="64"/>
        </w:trPr>
        <w:tc>
          <w:tcPr>
            <w:tcW w:w="211" w:type="pct"/>
            <w:textDirection w:val="btLr"/>
            <w:vAlign w:val="center"/>
          </w:tcPr>
          <w:p w14:paraId="2CB5CC05" w14:textId="58BEB0D9" w:rsidR="0013614F" w:rsidRPr="00D23213" w:rsidRDefault="0013614F" w:rsidP="008A4A03">
            <w:pPr>
              <w:jc w:val="center"/>
              <w:rPr>
                <w:rFonts w:asciiTheme="minorHAnsi" w:hAnsiTheme="minorHAnsi" w:cstheme="minorHAnsi"/>
                <w:bCs/>
                <w:sz w:val="16"/>
                <w:szCs w:val="16"/>
                <w:lang w:val="bs-Latn-BA"/>
              </w:rPr>
            </w:pPr>
            <w:r w:rsidRPr="00D23213">
              <w:rPr>
                <w:rFonts w:asciiTheme="minorHAnsi" w:hAnsiTheme="minorHAnsi" w:cstheme="minorHAnsi"/>
                <w:sz w:val="16"/>
                <w:szCs w:val="16"/>
              </w:rPr>
              <w:t>SC 3/Sec 3.3</w:t>
            </w:r>
          </w:p>
        </w:tc>
        <w:tc>
          <w:tcPr>
            <w:tcW w:w="626" w:type="pct"/>
            <w:vAlign w:val="center"/>
          </w:tcPr>
          <w:p w14:paraId="55609DFA" w14:textId="2693531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Izrada Programa sanitarne zaštite vode za piće i ljudsku upotrebu  za izvorište Povelič (2018)</w:t>
            </w:r>
          </w:p>
        </w:tc>
        <w:tc>
          <w:tcPr>
            <w:tcW w:w="838" w:type="pct"/>
            <w:vAlign w:val="center"/>
          </w:tcPr>
          <w:p w14:paraId="76996891" w14:textId="7CE78686"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Zona izvorišta Povelič zaštićena od degradacije i zagađenja</w:t>
            </w:r>
          </w:p>
        </w:tc>
        <w:tc>
          <w:tcPr>
            <w:tcW w:w="503" w:type="pct"/>
            <w:vAlign w:val="center"/>
          </w:tcPr>
          <w:p w14:paraId="764D8054" w14:textId="5920B578"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19,500</w:t>
            </w:r>
          </w:p>
        </w:tc>
        <w:tc>
          <w:tcPr>
            <w:tcW w:w="279" w:type="pct"/>
            <w:vAlign w:val="center"/>
          </w:tcPr>
          <w:p w14:paraId="164107E3" w14:textId="6FFCD6B4"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80" w:type="pct"/>
            <w:vAlign w:val="center"/>
          </w:tcPr>
          <w:p w14:paraId="57D83C32" w14:textId="098CD194"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33265F" w:rsidRPr="00D23213">
              <w:rPr>
                <w:rFonts w:asciiTheme="minorHAnsi" w:hAnsiTheme="minorHAnsi" w:cstheme="minorHAnsi"/>
                <w:sz w:val="16"/>
                <w:szCs w:val="16"/>
                <w:highlight w:val="yellow"/>
              </w:rPr>
              <w:t>0</w:t>
            </w:r>
          </w:p>
        </w:tc>
        <w:tc>
          <w:tcPr>
            <w:tcW w:w="280" w:type="pct"/>
            <w:vAlign w:val="center"/>
          </w:tcPr>
          <w:p w14:paraId="1D8A34DD" w14:textId="59E1F8BE"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33265F" w:rsidRPr="00D23213">
              <w:rPr>
                <w:rFonts w:asciiTheme="minorHAnsi" w:hAnsiTheme="minorHAnsi" w:cstheme="minorHAnsi"/>
                <w:sz w:val="16"/>
                <w:szCs w:val="16"/>
                <w:highlight w:val="yellow"/>
              </w:rPr>
              <w:t>0</w:t>
            </w:r>
          </w:p>
        </w:tc>
        <w:tc>
          <w:tcPr>
            <w:tcW w:w="280" w:type="pct"/>
            <w:vAlign w:val="center"/>
          </w:tcPr>
          <w:p w14:paraId="5A1ACEEF" w14:textId="0F36BD34"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5181A00F" w14:textId="7DC52D6C"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168" w:type="pct"/>
            <w:vAlign w:val="center"/>
          </w:tcPr>
          <w:p w14:paraId="74E6353D" w14:textId="74E56C79" w:rsidR="0013614F" w:rsidRPr="00D23213" w:rsidRDefault="0033265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r w:rsidR="0013614F" w:rsidRPr="00D23213">
              <w:rPr>
                <w:rFonts w:asciiTheme="minorHAnsi" w:hAnsiTheme="minorHAnsi" w:cstheme="minorHAnsi"/>
                <w:sz w:val="16"/>
                <w:szCs w:val="16"/>
                <w:highlight w:val="yellow"/>
              </w:rPr>
              <w:t> </w:t>
            </w:r>
          </w:p>
        </w:tc>
        <w:tc>
          <w:tcPr>
            <w:tcW w:w="167" w:type="pct"/>
            <w:vAlign w:val="center"/>
          </w:tcPr>
          <w:p w14:paraId="3E95648A" w14:textId="5F0215DB"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 </w:t>
            </w:r>
            <w:r w:rsidR="0033265F" w:rsidRPr="00D23213">
              <w:rPr>
                <w:rFonts w:asciiTheme="minorHAnsi" w:hAnsiTheme="minorHAnsi" w:cstheme="minorHAnsi"/>
                <w:sz w:val="16"/>
                <w:szCs w:val="16"/>
                <w:highlight w:val="yellow"/>
              </w:rPr>
              <w:t>0</w:t>
            </w:r>
          </w:p>
        </w:tc>
        <w:tc>
          <w:tcPr>
            <w:tcW w:w="226" w:type="pct"/>
            <w:vAlign w:val="center"/>
          </w:tcPr>
          <w:p w14:paraId="043ED3E2" w14:textId="0CC71919" w:rsidR="0013614F" w:rsidRPr="00D23213" w:rsidRDefault="0013614F" w:rsidP="008A4A03">
            <w:pPr>
              <w:rPr>
                <w:rFonts w:asciiTheme="minorHAnsi" w:hAnsiTheme="minorHAnsi" w:cstheme="minorHAnsi"/>
                <w:bCs/>
                <w:sz w:val="16"/>
                <w:szCs w:val="16"/>
                <w:highlight w:val="yellow"/>
                <w:lang w:val="bs-Latn-BA"/>
              </w:rPr>
            </w:pPr>
            <w:r w:rsidRPr="00D23213">
              <w:rPr>
                <w:rFonts w:asciiTheme="minorHAnsi" w:hAnsiTheme="minorHAnsi" w:cstheme="minorHAnsi"/>
                <w:sz w:val="16"/>
                <w:szCs w:val="16"/>
                <w:highlight w:val="yellow"/>
              </w:rPr>
              <w:t>0</w:t>
            </w:r>
          </w:p>
        </w:tc>
        <w:tc>
          <w:tcPr>
            <w:tcW w:w="224" w:type="pct"/>
            <w:vAlign w:val="center"/>
          </w:tcPr>
          <w:p w14:paraId="79533F18" w14:textId="1788817A"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JLS</w:t>
            </w:r>
          </w:p>
        </w:tc>
        <w:tc>
          <w:tcPr>
            <w:tcW w:w="331" w:type="pct"/>
            <w:vAlign w:val="center"/>
          </w:tcPr>
          <w:p w14:paraId="09A86C31" w14:textId="6ADBEE99"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 </w:t>
            </w:r>
          </w:p>
        </w:tc>
        <w:tc>
          <w:tcPr>
            <w:tcW w:w="363" w:type="pct"/>
            <w:vAlign w:val="center"/>
          </w:tcPr>
          <w:p w14:paraId="1D4B39A4" w14:textId="125D5627" w:rsidR="0013614F" w:rsidRPr="00D23213" w:rsidRDefault="0013614F" w:rsidP="008A4A03">
            <w:pPr>
              <w:rPr>
                <w:rFonts w:asciiTheme="minorHAnsi" w:hAnsiTheme="minorHAnsi" w:cstheme="minorHAnsi"/>
                <w:bCs/>
                <w:sz w:val="16"/>
                <w:szCs w:val="16"/>
                <w:lang w:val="bs-Latn-BA"/>
              </w:rPr>
            </w:pPr>
            <w:r w:rsidRPr="00D23213">
              <w:rPr>
                <w:rFonts w:asciiTheme="minorHAnsi" w:hAnsiTheme="minorHAnsi" w:cstheme="minorHAnsi"/>
                <w:sz w:val="16"/>
                <w:szCs w:val="16"/>
              </w:rPr>
              <w:t>Odjeljenje za prostorno uređenje</w:t>
            </w:r>
          </w:p>
        </w:tc>
      </w:tr>
    </w:tbl>
    <w:p w14:paraId="134EBA32" w14:textId="5685F450" w:rsidR="004F4EE7" w:rsidRDefault="004F4EE7" w:rsidP="004F4EE7"/>
    <w:p w14:paraId="6BFA78E0" w14:textId="77777777" w:rsidR="00B308B6" w:rsidRDefault="00B308B6" w:rsidP="004F4EE7"/>
    <w:p w14:paraId="388EE675" w14:textId="2A04BA39" w:rsidR="004F4EE7" w:rsidRDefault="004F4EE7" w:rsidP="004F4EE7"/>
    <w:p w14:paraId="1268DD60" w14:textId="1687340E" w:rsidR="004F4EE7" w:rsidRDefault="004F4EE7" w:rsidP="004F4EE7"/>
    <w:p w14:paraId="5BE4A805" w14:textId="1A497760" w:rsidR="004F4EE7" w:rsidRDefault="004F4EE7" w:rsidP="004F4EE7"/>
    <w:p w14:paraId="6A9E7E54" w14:textId="77777777" w:rsidR="004F4EE7" w:rsidRPr="00745B6A" w:rsidRDefault="004F4EE7" w:rsidP="004F4EE7">
      <w:pPr>
        <w:pStyle w:val="Heading2"/>
      </w:pPr>
      <w:bookmarkStart w:id="56" w:name="_Toc488761255"/>
      <w:bookmarkStart w:id="57" w:name="_Toc496413395"/>
      <w:r>
        <w:lastRenderedPageBreak/>
        <w:t>VI.2</w:t>
      </w:r>
      <w:r w:rsidRPr="00745B6A">
        <w:t xml:space="preserve">. </w:t>
      </w:r>
      <w:r>
        <w:t>Plan organizacionih i ljudskih kapaciteta  za implementaciju, praćenje i vrednovanje strategije</w:t>
      </w:r>
      <w:bookmarkEnd w:id="56"/>
      <w:bookmarkEnd w:id="57"/>
    </w:p>
    <w:p w14:paraId="360EC3F4" w14:textId="42AC5205" w:rsidR="004431B6" w:rsidRPr="00EB3612" w:rsidRDefault="004431B6" w:rsidP="004431B6">
      <w:pPr>
        <w:jc w:val="both"/>
        <w:rPr>
          <w:rStyle w:val="hps"/>
        </w:rPr>
      </w:pPr>
      <w:r w:rsidRPr="00EB3612">
        <w:rPr>
          <w:rStyle w:val="hps"/>
        </w:rPr>
        <w:t>U</w:t>
      </w:r>
      <w:r w:rsidR="004F4EE7" w:rsidRPr="00EB3612">
        <w:rPr>
          <w:rStyle w:val="hps"/>
        </w:rPr>
        <w:t xml:space="preserve"> Opštini </w:t>
      </w:r>
      <w:r w:rsidRPr="00EB3612">
        <w:rPr>
          <w:rStyle w:val="hps"/>
        </w:rPr>
        <w:t>Prnjavor</w:t>
      </w:r>
      <w:r w:rsidR="004F4EE7" w:rsidRPr="00EB3612">
        <w:rPr>
          <w:rStyle w:val="hps"/>
        </w:rPr>
        <w:t xml:space="preserve"> </w:t>
      </w:r>
      <w:r w:rsidRPr="00EB3612">
        <w:rPr>
          <w:rStyle w:val="hps"/>
        </w:rPr>
        <w:t xml:space="preserve">je </w:t>
      </w:r>
      <w:r w:rsidRPr="000F5A53">
        <w:rPr>
          <w:rStyle w:val="hps"/>
        </w:rPr>
        <w:t>2014. godine formiran Odsjek za razvoj i preduzetništvo sa četiri radna mjesta:</w:t>
      </w:r>
      <w:r>
        <w:rPr>
          <w:rStyle w:val="hps"/>
        </w:rPr>
        <w:t xml:space="preserve"> š</w:t>
      </w:r>
      <w:r w:rsidRPr="00EB3612">
        <w:rPr>
          <w:rStyle w:val="hps"/>
        </w:rPr>
        <w:t xml:space="preserve">ef Odsjeka za razvoj, SSS za razvoj, preduzetništvo i analitičko-statističke poslove i SSS za upravno pravne poslove. </w:t>
      </w:r>
      <w:r w:rsidR="006A6E80">
        <w:rPr>
          <w:rStyle w:val="hps"/>
        </w:rPr>
        <w:t>N</w:t>
      </w:r>
      <w:r w:rsidR="006A6E80" w:rsidRPr="000F5A53">
        <w:rPr>
          <w:rStyle w:val="hps"/>
        </w:rPr>
        <w:t>ačelnici odjeljenja, prema važećem Pravilniku, imaju obavezu da učestvuju u procesima strateškog planiranja i izradi godišnjih planova implementacije</w:t>
      </w:r>
      <w:r w:rsidR="006A6E80">
        <w:rPr>
          <w:rStyle w:val="hps"/>
        </w:rPr>
        <w:t xml:space="preserve">. </w:t>
      </w:r>
    </w:p>
    <w:p w14:paraId="663815A7" w14:textId="66A67C88" w:rsidR="006A6E80" w:rsidRPr="00EB3612" w:rsidRDefault="006A6E80" w:rsidP="00EB3612">
      <w:pPr>
        <w:jc w:val="both"/>
        <w:rPr>
          <w:rStyle w:val="hps"/>
        </w:rPr>
      </w:pPr>
      <w:r w:rsidRPr="00EB3612">
        <w:rPr>
          <w:rStyle w:val="hps"/>
        </w:rPr>
        <w:t>U cilju daljeg unapređenja upravljanja razvojem, u narednom periodu je potrebno preciznije definisati projekte u planovima implementacije kao i njihove izlazne i finalne rezultate, obezbijediti praćenje implementacije pojedinačnih projekata i Strategije u cjelini uvođenjem jedinstvenih formata za izvještavanje od strane svih nosilaca implementacije, kao i formiranjem jedinstvene baze projekata sa relevantnim podacima i pokazateljima ostvarenja Strategije, te  uspostaviti institucionalne kanale za ažuriranje baze projekata između resornih odjeljenja i Odsjeka za razvoj i preduzetništvo, koji ima ulogu centralne jedinice za koordiniranje razvojnih aktivnosti. Takođe, potrebno je uspostaviti kanale za redovnu komunikaciju i saradnju sa širim krugom socio-ekonomskih aktera s</w:t>
      </w:r>
      <w:r w:rsidR="00EB3612" w:rsidRPr="00EB3612">
        <w:rPr>
          <w:rStyle w:val="hps"/>
        </w:rPr>
        <w:t>a</w:t>
      </w:r>
      <w:r w:rsidRPr="00EB3612">
        <w:rPr>
          <w:rStyle w:val="hps"/>
        </w:rPr>
        <w:t xml:space="preserve"> ciljem njihovog aktivnijeg uključenja u procese planiranja i implementacije, te postizanja održivih rezultata.</w:t>
      </w:r>
      <w:r w:rsidR="00EB3612" w:rsidRPr="00EB3612">
        <w:rPr>
          <w:rStyle w:val="hps"/>
        </w:rPr>
        <w:t xml:space="preserve"> Osim toga, treba dalje j</w:t>
      </w:r>
      <w:r w:rsidRPr="00EB3612">
        <w:rPr>
          <w:rStyle w:val="hps"/>
        </w:rPr>
        <w:t>ačati kapacitete predstavnika lokalne uprave i eksternih aktera za pisanje i implementaciju projekata u skladu sa zahtjevima donatora, posebno EU.</w:t>
      </w:r>
      <w:r w:rsidR="00EB3612" w:rsidRPr="00EB3612">
        <w:rPr>
          <w:rStyle w:val="hps"/>
        </w:rPr>
        <w:t xml:space="preserve"> Pored toga, p</w:t>
      </w:r>
      <w:r w:rsidRPr="00EB3612">
        <w:rPr>
          <w:rStyle w:val="hps"/>
        </w:rPr>
        <w:t>reporučuje se uvođenje Procedure za planiranje, praćenje, vrednovanje i izvještavanje (PPVI procedure), da bi se specifičnije definisali aspekti upravljanja kvalitetom u segmentu upravljanja razvojem.</w:t>
      </w:r>
    </w:p>
    <w:p w14:paraId="52344802" w14:textId="77777777" w:rsidR="004431B6" w:rsidRDefault="004431B6" w:rsidP="004F4EE7">
      <w:pPr>
        <w:jc w:val="both"/>
        <w:rPr>
          <w:rFonts w:cs="Arial"/>
          <w:lang w:val="hr-HR"/>
        </w:rPr>
      </w:pPr>
    </w:p>
    <w:p w14:paraId="038C4AFF" w14:textId="2E3930E8" w:rsidR="004F4EE7" w:rsidRDefault="004F4EE7" w:rsidP="004F4EE7">
      <w:pPr>
        <w:jc w:val="both"/>
        <w:rPr>
          <w:rFonts w:asciiTheme="minorHAnsi" w:hAnsiTheme="minorHAnsi" w:cstheme="minorHAnsi"/>
        </w:rPr>
      </w:pPr>
    </w:p>
    <w:p w14:paraId="028247D7" w14:textId="6C6E61E6" w:rsidR="004F4EE7" w:rsidRDefault="004F4EE7" w:rsidP="004F4EE7">
      <w:pPr>
        <w:pStyle w:val="Heading1"/>
      </w:pPr>
      <w:bookmarkStart w:id="58" w:name="_Toc488761256"/>
      <w:bookmarkStart w:id="59" w:name="_Toc496413396"/>
      <w:r>
        <w:t>Pregled osnovnih aktivnosti i odgovornosti za implementaciju strategije</w:t>
      </w:r>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387"/>
        <w:gridCol w:w="622"/>
        <w:gridCol w:w="3403"/>
      </w:tblGrid>
      <w:tr w:rsidR="00B24827" w:rsidRPr="00F44561" w14:paraId="08B55DB9" w14:textId="77777777" w:rsidTr="008A07EF">
        <w:tc>
          <w:tcPr>
            <w:tcW w:w="5000" w:type="pct"/>
            <w:gridSpan w:val="4"/>
            <w:tcBorders>
              <w:top w:val="single" w:sz="4" w:space="0" w:color="auto"/>
              <w:left w:val="single" w:sz="4" w:space="0" w:color="auto"/>
              <w:bottom w:val="single" w:sz="4" w:space="0" w:color="auto"/>
              <w:right w:val="single" w:sz="4" w:space="0" w:color="auto"/>
            </w:tcBorders>
            <w:shd w:val="clear" w:color="auto" w:fill="1F497D"/>
            <w:hideMark/>
          </w:tcPr>
          <w:p w14:paraId="41E85298" w14:textId="77777777" w:rsidR="000A6B08" w:rsidRPr="00F44561" w:rsidRDefault="000A6B08" w:rsidP="00350813">
            <w:pPr>
              <w:spacing w:after="120" w:line="256" w:lineRule="auto"/>
              <w:contextualSpacing/>
              <w:jc w:val="center"/>
              <w:rPr>
                <w:b/>
                <w:highlight w:val="cyan"/>
                <w:lang w:val="bs-Latn-BA"/>
              </w:rPr>
            </w:pPr>
            <w:r w:rsidRPr="00F44561">
              <w:rPr>
                <w:b/>
                <w:highlight w:val="cyan"/>
                <w:lang w:val="bs-Latn-BA"/>
              </w:rPr>
              <w:t xml:space="preserve">Osnovne uloge i odgovornosti za implementaciju , praćenje, vrednovanje i izvještavanje </w:t>
            </w:r>
          </w:p>
        </w:tc>
      </w:tr>
      <w:tr w:rsidR="00B24827" w:rsidRPr="00F44561" w14:paraId="700DFF43" w14:textId="77777777" w:rsidTr="008A07EF">
        <w:tc>
          <w:tcPr>
            <w:tcW w:w="1366" w:type="pct"/>
            <w:tcBorders>
              <w:top w:val="single" w:sz="4" w:space="0" w:color="auto"/>
              <w:left w:val="single" w:sz="4" w:space="0" w:color="auto"/>
              <w:bottom w:val="single" w:sz="4" w:space="0" w:color="auto"/>
              <w:right w:val="single" w:sz="4" w:space="0" w:color="auto"/>
            </w:tcBorders>
            <w:shd w:val="clear" w:color="auto" w:fill="B8CCE4"/>
            <w:hideMark/>
          </w:tcPr>
          <w:p w14:paraId="30D94724" w14:textId="77777777" w:rsidR="000A6B08" w:rsidRPr="00F44561" w:rsidRDefault="000A6B08" w:rsidP="00350813">
            <w:pPr>
              <w:spacing w:after="120" w:line="256" w:lineRule="auto"/>
              <w:contextualSpacing/>
              <w:jc w:val="center"/>
              <w:rPr>
                <w:b/>
                <w:strike/>
                <w:highlight w:val="cyan"/>
                <w:lang w:val="bs-Latn-BA"/>
              </w:rPr>
            </w:pPr>
            <w:r w:rsidRPr="00F44561">
              <w:rPr>
                <w:b/>
                <w:highlight w:val="cyan"/>
                <w:lang w:val="bs-Latn-BA"/>
              </w:rPr>
              <w:t>Aktivnosti</w:t>
            </w:r>
            <w:r w:rsidRPr="00F44561">
              <w:rPr>
                <w:b/>
                <w:highlight w:val="cyan"/>
                <w:vertAlign w:val="superscript"/>
                <w:lang w:val="bs-Latn-BA"/>
              </w:rPr>
              <w:t>(*)</w:t>
            </w:r>
          </w:p>
        </w:tc>
        <w:tc>
          <w:tcPr>
            <w:tcW w:w="2080" w:type="pct"/>
            <w:tcBorders>
              <w:top w:val="single" w:sz="4" w:space="0" w:color="auto"/>
              <w:left w:val="single" w:sz="4" w:space="0" w:color="auto"/>
              <w:bottom w:val="single" w:sz="4" w:space="0" w:color="auto"/>
              <w:right w:val="single" w:sz="4" w:space="0" w:color="auto"/>
            </w:tcBorders>
            <w:shd w:val="clear" w:color="auto" w:fill="B8CCE4"/>
            <w:hideMark/>
          </w:tcPr>
          <w:p w14:paraId="1A8B0E1E" w14:textId="77777777" w:rsidR="000A6B08" w:rsidRPr="00F44561" w:rsidRDefault="000A6B08" w:rsidP="00350813">
            <w:pPr>
              <w:spacing w:after="120" w:line="256" w:lineRule="auto"/>
              <w:contextualSpacing/>
              <w:jc w:val="center"/>
              <w:rPr>
                <w:b/>
                <w:highlight w:val="cyan"/>
                <w:lang w:val="bs-Latn-BA"/>
              </w:rPr>
            </w:pPr>
            <w:r w:rsidRPr="00F44561">
              <w:rPr>
                <w:b/>
                <w:highlight w:val="cyan"/>
                <w:lang w:val="bs-Latn-BA"/>
              </w:rPr>
              <w:t>Nadležnost (ko?) /</w:t>
            </w:r>
          </w:p>
        </w:tc>
        <w:tc>
          <w:tcPr>
            <w:tcW w:w="1554" w:type="pct"/>
            <w:gridSpan w:val="2"/>
            <w:tcBorders>
              <w:top w:val="single" w:sz="4" w:space="0" w:color="auto"/>
              <w:left w:val="single" w:sz="4" w:space="0" w:color="auto"/>
              <w:bottom w:val="single" w:sz="4" w:space="0" w:color="auto"/>
              <w:right w:val="single" w:sz="4" w:space="0" w:color="auto"/>
            </w:tcBorders>
            <w:shd w:val="clear" w:color="auto" w:fill="B8CCE4"/>
            <w:hideMark/>
          </w:tcPr>
          <w:p w14:paraId="63A946CD" w14:textId="77777777" w:rsidR="000A6B08" w:rsidRPr="00F44561" w:rsidRDefault="000A6B08" w:rsidP="00350813">
            <w:pPr>
              <w:spacing w:after="120" w:line="256" w:lineRule="auto"/>
              <w:contextualSpacing/>
              <w:jc w:val="center"/>
              <w:rPr>
                <w:b/>
                <w:highlight w:val="cyan"/>
                <w:lang w:val="bs-Latn-BA"/>
              </w:rPr>
            </w:pPr>
            <w:r w:rsidRPr="00F44561">
              <w:rPr>
                <w:b/>
                <w:highlight w:val="cyan"/>
                <w:lang w:val="bs-Latn-BA"/>
              </w:rPr>
              <w:t>Rok (okvirno kada ?)</w:t>
            </w:r>
          </w:p>
        </w:tc>
      </w:tr>
      <w:tr w:rsidR="00B24827" w:rsidRPr="00F44561" w14:paraId="3B1C742D" w14:textId="77777777" w:rsidTr="008A07EF">
        <w:trPr>
          <w:trHeight w:val="701"/>
        </w:trPr>
        <w:tc>
          <w:tcPr>
            <w:tcW w:w="1366" w:type="pct"/>
            <w:tcBorders>
              <w:top w:val="single" w:sz="4" w:space="0" w:color="auto"/>
              <w:left w:val="single" w:sz="4" w:space="0" w:color="auto"/>
              <w:bottom w:val="single" w:sz="4" w:space="0" w:color="auto"/>
              <w:right w:val="single" w:sz="4" w:space="0" w:color="auto"/>
            </w:tcBorders>
            <w:hideMark/>
          </w:tcPr>
          <w:p w14:paraId="6406908B" w14:textId="77777777" w:rsidR="000A6B08" w:rsidRPr="00F44561" w:rsidRDefault="000A6B08" w:rsidP="00350813">
            <w:pPr>
              <w:spacing w:after="120" w:line="256" w:lineRule="auto"/>
              <w:contextualSpacing/>
              <w:jc w:val="both"/>
              <w:rPr>
                <w:sz w:val="18"/>
                <w:szCs w:val="18"/>
                <w:highlight w:val="cyan"/>
                <w:lang w:val="bs-Latn-BA"/>
              </w:rPr>
            </w:pPr>
            <w:r w:rsidRPr="00F44561">
              <w:rPr>
                <w:sz w:val="18"/>
                <w:szCs w:val="18"/>
                <w:highlight w:val="cyan"/>
                <w:lang w:val="bs-Latn-BA"/>
              </w:rPr>
              <w:t xml:space="preserve">Definisanje prioriteta za </w:t>
            </w:r>
            <w:r w:rsidRPr="00F44561">
              <w:rPr>
                <w:sz w:val="18"/>
                <w:szCs w:val="18"/>
                <w:highlight w:val="cyan"/>
                <w:u w:val="single"/>
                <w:lang w:val="bs-Latn-BA"/>
              </w:rPr>
              <w:t>narednu godinu</w:t>
            </w:r>
            <w:r w:rsidRPr="00F44561">
              <w:rPr>
                <w:sz w:val="18"/>
                <w:szCs w:val="18"/>
                <w:highlight w:val="cyan"/>
                <w:lang w:val="bs-Latn-BA"/>
              </w:rPr>
              <w:t xml:space="preserve"> na osnovu strateško-programskih dokumenata i izrada Plana implementacije (1+2)</w:t>
            </w:r>
          </w:p>
        </w:tc>
        <w:tc>
          <w:tcPr>
            <w:tcW w:w="2080" w:type="pct"/>
            <w:tcBorders>
              <w:top w:val="single" w:sz="4" w:space="0" w:color="auto"/>
              <w:left w:val="single" w:sz="4" w:space="0" w:color="auto"/>
              <w:bottom w:val="single" w:sz="4" w:space="0" w:color="auto"/>
              <w:right w:val="single" w:sz="4" w:space="0" w:color="auto"/>
            </w:tcBorders>
            <w:hideMark/>
          </w:tcPr>
          <w:p w14:paraId="6AE41137" w14:textId="77777777" w:rsidR="000A6B08" w:rsidRPr="00F44561" w:rsidRDefault="000A6B08" w:rsidP="00350813">
            <w:pPr>
              <w:spacing w:line="256" w:lineRule="auto"/>
              <w:rPr>
                <w:sz w:val="18"/>
                <w:highlight w:val="cyan"/>
                <w:lang w:val="bs-Latn-BA"/>
              </w:rPr>
            </w:pPr>
            <w:r w:rsidRPr="00F44561">
              <w:rPr>
                <w:b/>
                <w:bCs/>
                <w:sz w:val="18"/>
                <w:highlight w:val="cyan"/>
                <w:lang w:val="bs-Latn-BA"/>
              </w:rPr>
              <w:t>Inicijator i vlasnik procesa:</w:t>
            </w:r>
            <w:r w:rsidRPr="00F44561">
              <w:rPr>
                <w:bCs/>
                <w:sz w:val="18"/>
                <w:highlight w:val="cyan"/>
                <w:lang w:val="bs-Latn-BA"/>
              </w:rPr>
              <w:t xml:space="preserve"> Šef odsjeka za razvoj</w:t>
            </w:r>
            <w:r w:rsidRPr="00F44561">
              <w:rPr>
                <w:rFonts w:eastAsia="MS PGothic"/>
                <w:sz w:val="18"/>
                <w:highlight w:val="cyan"/>
                <w:lang w:val="bs-Latn-BA"/>
              </w:rPr>
              <w:t xml:space="preserve"> </w:t>
            </w:r>
          </w:p>
          <w:p w14:paraId="4A755A53" w14:textId="77777777" w:rsidR="000A6B08" w:rsidRPr="00F44561" w:rsidRDefault="000A6B08" w:rsidP="00350813">
            <w:pPr>
              <w:spacing w:line="256" w:lineRule="auto"/>
              <w:rPr>
                <w:b/>
                <w:sz w:val="18"/>
                <w:highlight w:val="cyan"/>
                <w:lang w:val="bs-Latn-BA"/>
              </w:rPr>
            </w:pPr>
            <w:r w:rsidRPr="00F44561">
              <w:rPr>
                <w:b/>
                <w:sz w:val="18"/>
                <w:highlight w:val="cyan"/>
                <w:lang w:val="bs-Latn-BA"/>
              </w:rPr>
              <w:t>Nosioci i učesnici u procesu:</w:t>
            </w:r>
          </w:p>
          <w:p w14:paraId="1316F8FF" w14:textId="77777777" w:rsidR="000A6B08" w:rsidRPr="00F44561" w:rsidRDefault="000A6B08" w:rsidP="00350813">
            <w:pPr>
              <w:spacing w:line="256" w:lineRule="auto"/>
              <w:rPr>
                <w:sz w:val="18"/>
                <w:highlight w:val="cyan"/>
                <w:lang w:val="bs-Latn-BA"/>
              </w:rPr>
            </w:pPr>
            <w:r w:rsidRPr="00F44561">
              <w:rPr>
                <w:sz w:val="18"/>
                <w:highlight w:val="cyan"/>
                <w:lang w:val="bs-Latn-BA"/>
              </w:rPr>
              <w:t>Načelnici nadležnih službi/odjeljenja opštinske uprave opštiner Prnjavor</w:t>
            </w:r>
          </w:p>
          <w:p w14:paraId="735B161E" w14:textId="77777777" w:rsidR="000A6B08" w:rsidRPr="00F44561" w:rsidRDefault="000A6B08" w:rsidP="00350813">
            <w:pPr>
              <w:spacing w:line="256" w:lineRule="auto"/>
              <w:rPr>
                <w:sz w:val="18"/>
                <w:highlight w:val="cyan"/>
                <w:lang w:val="bs-Latn-BA"/>
              </w:rPr>
            </w:pPr>
            <w:r w:rsidRPr="00F44561">
              <w:rPr>
                <w:sz w:val="18"/>
                <w:highlight w:val="cyan"/>
                <w:lang w:val="bs-Latn-BA"/>
              </w:rPr>
              <w:t>Kolegijum načelnika JLS</w:t>
            </w:r>
          </w:p>
          <w:p w14:paraId="086C61AE" w14:textId="77777777" w:rsidR="000A6B08" w:rsidRPr="00F44561" w:rsidRDefault="000A6B08" w:rsidP="00350813">
            <w:pPr>
              <w:spacing w:line="256" w:lineRule="auto"/>
              <w:rPr>
                <w:rFonts w:eastAsia="MS PGothic"/>
                <w:sz w:val="18"/>
                <w:highlight w:val="cyan"/>
              </w:rPr>
            </w:pPr>
            <w:r w:rsidRPr="00F44561">
              <w:rPr>
                <w:sz w:val="18"/>
                <w:highlight w:val="cyan"/>
                <w:lang w:val="bs-Latn-BA"/>
              </w:rPr>
              <w:t xml:space="preserve">Ostali službenici Odsjeka za razvoj i  članovi ORT-a </w:t>
            </w:r>
          </w:p>
        </w:tc>
        <w:tc>
          <w:tcPr>
            <w:tcW w:w="1554" w:type="pct"/>
            <w:gridSpan w:val="2"/>
            <w:tcBorders>
              <w:top w:val="single" w:sz="4" w:space="0" w:color="auto"/>
              <w:left w:val="single" w:sz="4" w:space="0" w:color="auto"/>
              <w:bottom w:val="single" w:sz="4" w:space="0" w:color="auto"/>
              <w:right w:val="single" w:sz="4" w:space="0" w:color="auto"/>
            </w:tcBorders>
            <w:hideMark/>
          </w:tcPr>
          <w:p w14:paraId="40EC0F87"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Prvi kvartal tekuće godine (po rokovima iz entitetskih Zakona o budžetu)</w:t>
            </w:r>
          </w:p>
        </w:tc>
      </w:tr>
      <w:tr w:rsidR="00B24827" w:rsidRPr="00F44561" w14:paraId="071B6A2C" w14:textId="77777777" w:rsidTr="008A07EF">
        <w:tc>
          <w:tcPr>
            <w:tcW w:w="1366" w:type="pct"/>
            <w:tcBorders>
              <w:top w:val="single" w:sz="4" w:space="0" w:color="auto"/>
              <w:left w:val="single" w:sz="4" w:space="0" w:color="auto"/>
              <w:bottom w:val="single" w:sz="4" w:space="0" w:color="auto"/>
              <w:right w:val="single" w:sz="4" w:space="0" w:color="auto"/>
            </w:tcBorders>
            <w:shd w:val="clear" w:color="auto" w:fill="DEEAF6"/>
            <w:hideMark/>
          </w:tcPr>
          <w:p w14:paraId="4DA1BCC9"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 xml:space="preserve">Priprema planova službi </w:t>
            </w:r>
            <w:r w:rsidRPr="00F44561">
              <w:rPr>
                <w:rFonts w:eastAsia="MS PGothic"/>
                <w:sz w:val="18"/>
                <w:szCs w:val="18"/>
                <w:highlight w:val="cyan"/>
                <w:u w:val="single"/>
              </w:rPr>
              <w:t>za narednu godinu</w:t>
            </w:r>
            <w:r w:rsidRPr="00F44561">
              <w:rPr>
                <w:rFonts w:eastAsia="MS PGothic"/>
                <w:sz w:val="18"/>
                <w:szCs w:val="18"/>
                <w:highlight w:val="cyan"/>
              </w:rPr>
              <w:t>, uključujući projekte iz Strategije razvoja i redovne poslove (priprema prijedloga budžeta za narednu godinu)</w:t>
            </w:r>
          </w:p>
        </w:tc>
        <w:tc>
          <w:tcPr>
            <w:tcW w:w="2080" w:type="pct"/>
            <w:tcBorders>
              <w:top w:val="single" w:sz="4" w:space="0" w:color="auto"/>
              <w:left w:val="single" w:sz="4" w:space="0" w:color="auto"/>
              <w:bottom w:val="single" w:sz="4" w:space="0" w:color="auto"/>
              <w:right w:val="single" w:sz="4" w:space="0" w:color="auto"/>
            </w:tcBorders>
            <w:shd w:val="clear" w:color="auto" w:fill="DEEAF6"/>
            <w:hideMark/>
          </w:tcPr>
          <w:p w14:paraId="50D44E13" w14:textId="77777777" w:rsidR="000A6B08" w:rsidRPr="00F44561" w:rsidRDefault="000A6B08" w:rsidP="00350813">
            <w:pPr>
              <w:spacing w:line="256" w:lineRule="auto"/>
              <w:rPr>
                <w:bCs/>
                <w:sz w:val="18"/>
                <w:highlight w:val="cyan"/>
                <w:lang w:val="bs-Latn-BA"/>
              </w:rPr>
            </w:pPr>
            <w:r w:rsidRPr="00F44561">
              <w:rPr>
                <w:b/>
                <w:sz w:val="18"/>
                <w:highlight w:val="cyan"/>
                <w:lang w:val="bs-Latn-BA"/>
              </w:rPr>
              <w:t>Inicijator i vlasnik procesa:</w:t>
            </w:r>
            <w:r w:rsidRPr="00F44561">
              <w:rPr>
                <w:sz w:val="18"/>
                <w:highlight w:val="cyan"/>
                <w:lang w:val="bs-Latn-BA"/>
              </w:rPr>
              <w:t xml:space="preserve"> Načelnici Odjeljenja opštinske uprave opštine Prnjavor</w:t>
            </w:r>
          </w:p>
          <w:p w14:paraId="7BC40DAF" w14:textId="77777777" w:rsidR="000A6B08" w:rsidRPr="00F44561" w:rsidRDefault="000A6B08" w:rsidP="00350813">
            <w:pPr>
              <w:spacing w:line="256" w:lineRule="auto"/>
              <w:rPr>
                <w:b/>
                <w:bCs/>
                <w:sz w:val="18"/>
                <w:highlight w:val="cyan"/>
                <w:lang w:val="bs-Latn-BA"/>
              </w:rPr>
            </w:pPr>
            <w:r w:rsidRPr="00F44561">
              <w:rPr>
                <w:b/>
                <w:bCs/>
                <w:sz w:val="18"/>
                <w:highlight w:val="cyan"/>
                <w:lang w:val="bs-Latn-BA"/>
              </w:rPr>
              <w:t xml:space="preserve">Nosioci i učesnici: </w:t>
            </w:r>
          </w:p>
          <w:p w14:paraId="2B4DEA29" w14:textId="77777777" w:rsidR="000A6B08" w:rsidRPr="00F44561" w:rsidRDefault="000A6B08" w:rsidP="00350813">
            <w:pPr>
              <w:spacing w:line="256" w:lineRule="auto"/>
              <w:rPr>
                <w:sz w:val="18"/>
                <w:highlight w:val="cyan"/>
                <w:lang w:val="bs-Latn-BA"/>
              </w:rPr>
            </w:pPr>
            <w:r w:rsidRPr="00F44561">
              <w:rPr>
                <w:bCs/>
                <w:sz w:val="18"/>
                <w:highlight w:val="cyan"/>
                <w:lang w:val="bs-Latn-BA"/>
              </w:rPr>
              <w:t xml:space="preserve">Ostali službenici   </w:t>
            </w:r>
          </w:p>
        </w:tc>
        <w:tc>
          <w:tcPr>
            <w:tcW w:w="1554"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671CFCD6" w14:textId="77777777" w:rsidR="000A6B08" w:rsidRPr="00F44561" w:rsidRDefault="000A6B08" w:rsidP="00350813">
            <w:pPr>
              <w:spacing w:line="256" w:lineRule="auto"/>
              <w:rPr>
                <w:rFonts w:eastAsia="MS PGothic"/>
                <w:sz w:val="18"/>
                <w:szCs w:val="18"/>
                <w:highlight w:val="cyan"/>
              </w:rPr>
            </w:pPr>
            <w:r w:rsidRPr="00F44561">
              <w:rPr>
                <w:rFonts w:cs="Calibri"/>
                <w:sz w:val="18"/>
                <w:szCs w:val="18"/>
                <w:highlight w:val="cyan"/>
              </w:rPr>
              <w:t>01.09-15.09.</w:t>
            </w:r>
          </w:p>
          <w:p w14:paraId="5E1C84B1"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tekuće godine</w:t>
            </w:r>
          </w:p>
        </w:tc>
      </w:tr>
      <w:tr w:rsidR="00B24827" w:rsidRPr="00F44561" w14:paraId="39AB07EA" w14:textId="77777777" w:rsidTr="008A07EF">
        <w:tc>
          <w:tcPr>
            <w:tcW w:w="1366" w:type="pct"/>
            <w:tcBorders>
              <w:top w:val="single" w:sz="4" w:space="0" w:color="auto"/>
              <w:left w:val="single" w:sz="4" w:space="0" w:color="auto"/>
              <w:bottom w:val="single" w:sz="4" w:space="0" w:color="auto"/>
              <w:right w:val="single" w:sz="4" w:space="0" w:color="auto"/>
            </w:tcBorders>
            <w:hideMark/>
          </w:tcPr>
          <w:p w14:paraId="41C4D4BA"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Priprema objedinjenog Godišnjeg plana rada JLS (</w:t>
            </w:r>
            <w:r w:rsidRPr="00F44561">
              <w:rPr>
                <w:rFonts w:eastAsia="MS PGothic"/>
                <w:sz w:val="18"/>
                <w:szCs w:val="18"/>
                <w:highlight w:val="cyan"/>
                <w:u w:val="single"/>
              </w:rPr>
              <w:t>za narednu godinu</w:t>
            </w:r>
            <w:r w:rsidRPr="00F44561">
              <w:rPr>
                <w:rFonts w:eastAsia="MS PGothic"/>
                <w:sz w:val="18"/>
                <w:szCs w:val="18"/>
                <w:highlight w:val="cyan"/>
              </w:rPr>
              <w:t>)</w:t>
            </w:r>
          </w:p>
          <w:p w14:paraId="3721CCFF"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(samo za JLS koje su uspostavile ili namjeravaju uspostaviti PPVI</w:t>
            </w:r>
            <w:r w:rsidRPr="00F44561">
              <w:rPr>
                <w:b/>
                <w:sz w:val="18"/>
                <w:szCs w:val="18"/>
                <w:highlight w:val="cyan"/>
                <w:vertAlign w:val="superscript"/>
                <w:lang w:val="bs-Latn-BA"/>
              </w:rPr>
              <w:t>(**)</w:t>
            </w:r>
            <w:r w:rsidRPr="00F44561">
              <w:rPr>
                <w:rFonts w:eastAsia="MS PGothic"/>
                <w:sz w:val="18"/>
                <w:szCs w:val="18"/>
                <w:highlight w:val="cyan"/>
              </w:rPr>
              <w:t xml:space="preserve"> proceduru) </w:t>
            </w:r>
          </w:p>
        </w:tc>
        <w:tc>
          <w:tcPr>
            <w:tcW w:w="2080" w:type="pct"/>
            <w:tcBorders>
              <w:top w:val="single" w:sz="4" w:space="0" w:color="auto"/>
              <w:left w:val="single" w:sz="4" w:space="0" w:color="auto"/>
              <w:bottom w:val="single" w:sz="4" w:space="0" w:color="auto"/>
              <w:right w:val="single" w:sz="4" w:space="0" w:color="auto"/>
            </w:tcBorders>
          </w:tcPr>
          <w:p w14:paraId="26C21BEB" w14:textId="77777777" w:rsidR="000A6B08" w:rsidRPr="00F44561" w:rsidRDefault="000A6B08" w:rsidP="00350813">
            <w:pPr>
              <w:spacing w:line="256" w:lineRule="auto"/>
              <w:rPr>
                <w:sz w:val="18"/>
                <w:szCs w:val="18"/>
                <w:highlight w:val="cyan"/>
                <w:lang w:val="bs-Latn-BA"/>
              </w:rPr>
            </w:pPr>
            <w:r w:rsidRPr="00F44561">
              <w:rPr>
                <w:b/>
                <w:bCs/>
                <w:sz w:val="18"/>
                <w:szCs w:val="18"/>
                <w:highlight w:val="cyan"/>
                <w:lang w:val="bs-Latn-BA"/>
              </w:rPr>
              <w:t>Inicijator i vlasnik procesa:</w:t>
            </w:r>
            <w:r w:rsidRPr="00F44561">
              <w:rPr>
                <w:bCs/>
                <w:sz w:val="18"/>
                <w:szCs w:val="18"/>
                <w:highlight w:val="cyan"/>
                <w:lang w:val="bs-Latn-BA"/>
              </w:rPr>
              <w:t xml:space="preserve"> Šef</w:t>
            </w:r>
            <w:r w:rsidRPr="00F44561">
              <w:rPr>
                <w:rFonts w:eastAsia="MS PGothic"/>
                <w:sz w:val="18"/>
                <w:szCs w:val="18"/>
                <w:highlight w:val="cyan"/>
                <w:lang w:val="bs-Latn-BA"/>
              </w:rPr>
              <w:t xml:space="preserve"> </w:t>
            </w:r>
            <w:r w:rsidRPr="00F44561">
              <w:rPr>
                <w:rFonts w:eastAsia="MS PGothic"/>
                <w:sz w:val="18"/>
                <w:szCs w:val="18"/>
                <w:highlight w:val="cyan"/>
              </w:rPr>
              <w:t>Kabineta načelnika</w:t>
            </w:r>
          </w:p>
          <w:p w14:paraId="7FB5D292" w14:textId="77777777" w:rsidR="000A6B08" w:rsidRPr="00F44561" w:rsidRDefault="000A6B08" w:rsidP="00350813">
            <w:pPr>
              <w:spacing w:line="256" w:lineRule="auto"/>
              <w:rPr>
                <w:sz w:val="18"/>
                <w:szCs w:val="18"/>
                <w:highlight w:val="cyan"/>
                <w:lang w:val="bs-Latn-BA"/>
              </w:rPr>
            </w:pPr>
            <w:r w:rsidRPr="00F44561">
              <w:rPr>
                <w:b/>
                <w:sz w:val="18"/>
                <w:szCs w:val="18"/>
                <w:highlight w:val="cyan"/>
                <w:lang w:val="bs-Latn-BA"/>
              </w:rPr>
              <w:t>Nosioci i učesnici u procesu</w:t>
            </w:r>
            <w:r w:rsidRPr="00F44561">
              <w:rPr>
                <w:sz w:val="18"/>
                <w:szCs w:val="18"/>
                <w:highlight w:val="cyan"/>
                <w:lang w:val="bs-Latn-BA"/>
              </w:rPr>
              <w:t>:</w:t>
            </w:r>
          </w:p>
          <w:p w14:paraId="7D5C20D3" w14:textId="77777777" w:rsidR="000A6B08" w:rsidRPr="00F44561" w:rsidRDefault="000A6B08" w:rsidP="00350813">
            <w:pPr>
              <w:spacing w:line="256" w:lineRule="auto"/>
              <w:rPr>
                <w:sz w:val="18"/>
                <w:szCs w:val="18"/>
                <w:highlight w:val="cyan"/>
                <w:lang w:val="bs-Latn-BA"/>
              </w:rPr>
            </w:pPr>
            <w:r w:rsidRPr="00F44561">
              <w:rPr>
                <w:sz w:val="18"/>
                <w:szCs w:val="18"/>
                <w:highlight w:val="cyan"/>
                <w:lang w:val="bs-Latn-BA"/>
              </w:rPr>
              <w:t>Kolegijum načelnika JLS</w:t>
            </w:r>
          </w:p>
          <w:p w14:paraId="52642D2C" w14:textId="77777777" w:rsidR="000A6B08" w:rsidRPr="00F44561" w:rsidRDefault="000A6B08" w:rsidP="00350813">
            <w:pPr>
              <w:spacing w:line="256" w:lineRule="auto"/>
              <w:rPr>
                <w:rFonts w:eastAsia="MS PGothic"/>
                <w:sz w:val="18"/>
                <w:szCs w:val="18"/>
                <w:highlight w:val="cyan"/>
              </w:rPr>
            </w:pPr>
          </w:p>
        </w:tc>
        <w:tc>
          <w:tcPr>
            <w:tcW w:w="1554" w:type="pct"/>
            <w:gridSpan w:val="2"/>
            <w:tcBorders>
              <w:top w:val="single" w:sz="4" w:space="0" w:color="auto"/>
              <w:left w:val="single" w:sz="4" w:space="0" w:color="auto"/>
              <w:bottom w:val="single" w:sz="4" w:space="0" w:color="auto"/>
              <w:right w:val="single" w:sz="4" w:space="0" w:color="auto"/>
            </w:tcBorders>
            <w:hideMark/>
          </w:tcPr>
          <w:p w14:paraId="6825C7D3" w14:textId="77777777" w:rsidR="000A6B08" w:rsidRPr="00F44561" w:rsidRDefault="000A6B08" w:rsidP="00350813">
            <w:pPr>
              <w:spacing w:line="256" w:lineRule="auto"/>
              <w:rPr>
                <w:rFonts w:cs="Calibri"/>
                <w:sz w:val="18"/>
                <w:szCs w:val="18"/>
                <w:highlight w:val="cyan"/>
              </w:rPr>
            </w:pPr>
            <w:r w:rsidRPr="00F44561">
              <w:rPr>
                <w:rFonts w:cs="Calibri"/>
                <w:sz w:val="18"/>
                <w:szCs w:val="18"/>
                <w:highlight w:val="cyan"/>
              </w:rPr>
              <w:t>01.10-31.12.</w:t>
            </w:r>
            <w:r w:rsidRPr="00F44561">
              <w:rPr>
                <w:rFonts w:eastAsia="MS PGothic"/>
                <w:sz w:val="18"/>
                <w:szCs w:val="18"/>
                <w:highlight w:val="cyan"/>
              </w:rPr>
              <w:t xml:space="preserve"> tekuće godine</w:t>
            </w:r>
          </w:p>
          <w:p w14:paraId="0C6FD780" w14:textId="77777777" w:rsidR="000A6B08" w:rsidRPr="00F44561" w:rsidRDefault="000A6B08" w:rsidP="00350813">
            <w:pPr>
              <w:spacing w:line="256" w:lineRule="auto"/>
              <w:rPr>
                <w:rFonts w:cs="Calibri"/>
                <w:sz w:val="18"/>
                <w:szCs w:val="18"/>
                <w:highlight w:val="cyan"/>
              </w:rPr>
            </w:pPr>
            <w:r w:rsidRPr="00F44561">
              <w:rPr>
                <w:rFonts w:cs="Calibri"/>
                <w:sz w:val="18"/>
                <w:szCs w:val="18"/>
                <w:highlight w:val="cyan"/>
              </w:rPr>
              <w:t>(Opština Prnjavor priprema godišnji plan rada Opštinske uprave na osnovu planova rada Odjeljenja, ali nema uspostavljenu PPVI proceduru na način kako je vi definišete, moguće da će biti uvedena u narednom periodu kroz MEG)</w:t>
            </w:r>
          </w:p>
        </w:tc>
      </w:tr>
      <w:tr w:rsidR="00B24827" w:rsidRPr="00F44561" w14:paraId="62AECB32" w14:textId="77777777" w:rsidTr="008A07EF">
        <w:tc>
          <w:tcPr>
            <w:tcW w:w="1366" w:type="pct"/>
            <w:tcBorders>
              <w:top w:val="single" w:sz="4" w:space="0" w:color="auto"/>
              <w:left w:val="single" w:sz="4" w:space="0" w:color="auto"/>
              <w:bottom w:val="single" w:sz="4" w:space="0" w:color="auto"/>
              <w:right w:val="single" w:sz="4" w:space="0" w:color="auto"/>
            </w:tcBorders>
            <w:shd w:val="clear" w:color="auto" w:fill="DEEAF6"/>
            <w:hideMark/>
          </w:tcPr>
          <w:p w14:paraId="715B819C"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lastRenderedPageBreak/>
              <w:t xml:space="preserve">Uključivanje strateških projekata i mjera u plan budžeta </w:t>
            </w:r>
            <w:r w:rsidRPr="00F44561">
              <w:rPr>
                <w:rFonts w:eastAsia="MS PGothic"/>
                <w:sz w:val="18"/>
                <w:szCs w:val="18"/>
                <w:highlight w:val="cyan"/>
                <w:u w:val="single"/>
              </w:rPr>
              <w:t>za narednu godinu</w:t>
            </w:r>
          </w:p>
        </w:tc>
        <w:tc>
          <w:tcPr>
            <w:tcW w:w="2080" w:type="pct"/>
            <w:tcBorders>
              <w:top w:val="single" w:sz="4" w:space="0" w:color="auto"/>
              <w:left w:val="single" w:sz="4" w:space="0" w:color="auto"/>
              <w:bottom w:val="single" w:sz="4" w:space="0" w:color="auto"/>
              <w:right w:val="single" w:sz="4" w:space="0" w:color="auto"/>
            </w:tcBorders>
            <w:shd w:val="clear" w:color="auto" w:fill="DEEAF6"/>
            <w:hideMark/>
          </w:tcPr>
          <w:p w14:paraId="5E882333" w14:textId="77777777" w:rsidR="000A6B08" w:rsidRPr="00F44561" w:rsidRDefault="000A6B08" w:rsidP="00350813">
            <w:pPr>
              <w:spacing w:line="256" w:lineRule="auto"/>
              <w:rPr>
                <w:rFonts w:eastAsia="MS PGothic"/>
                <w:sz w:val="18"/>
                <w:szCs w:val="18"/>
                <w:highlight w:val="cyan"/>
              </w:rPr>
            </w:pPr>
            <w:r w:rsidRPr="00F44561">
              <w:rPr>
                <w:rFonts w:eastAsia="MS PGothic"/>
                <w:b/>
                <w:sz w:val="18"/>
                <w:szCs w:val="18"/>
                <w:highlight w:val="cyan"/>
              </w:rPr>
              <w:t>Inicijator i vlasnik procesa:</w:t>
            </w:r>
            <w:r w:rsidRPr="00F44561">
              <w:rPr>
                <w:rFonts w:eastAsia="MS PGothic"/>
                <w:sz w:val="18"/>
                <w:szCs w:val="18"/>
                <w:highlight w:val="cyan"/>
              </w:rPr>
              <w:t xml:space="preserve"> Načelnik Odjeljenja za finansije </w:t>
            </w:r>
          </w:p>
          <w:p w14:paraId="27BB3A2A" w14:textId="77777777" w:rsidR="000A6B08" w:rsidRPr="00F44561" w:rsidRDefault="000A6B08" w:rsidP="00350813">
            <w:pPr>
              <w:spacing w:line="256" w:lineRule="auto"/>
              <w:rPr>
                <w:b/>
                <w:bCs/>
                <w:sz w:val="18"/>
                <w:szCs w:val="18"/>
                <w:highlight w:val="cyan"/>
                <w:lang w:val="bs-Latn-BA"/>
              </w:rPr>
            </w:pPr>
            <w:r w:rsidRPr="00F44561">
              <w:rPr>
                <w:b/>
                <w:bCs/>
                <w:sz w:val="18"/>
                <w:szCs w:val="18"/>
                <w:highlight w:val="cyan"/>
                <w:lang w:val="bs-Latn-BA"/>
              </w:rPr>
              <w:t>Nosioci i učesnici procesa:</w:t>
            </w:r>
          </w:p>
          <w:p w14:paraId="54B3208B" w14:textId="77777777" w:rsidR="000A6B08" w:rsidRPr="00F44561" w:rsidRDefault="000A6B08" w:rsidP="00350813">
            <w:pPr>
              <w:spacing w:line="256" w:lineRule="auto"/>
              <w:rPr>
                <w:sz w:val="18"/>
                <w:szCs w:val="18"/>
                <w:highlight w:val="cyan"/>
                <w:lang w:val="bs-Latn-BA"/>
              </w:rPr>
            </w:pPr>
            <w:r w:rsidRPr="00F44561">
              <w:rPr>
                <w:bCs/>
                <w:sz w:val="18"/>
                <w:szCs w:val="18"/>
                <w:highlight w:val="cyan"/>
                <w:lang w:val="bs-Latn-BA"/>
              </w:rPr>
              <w:t>Šef i službenici Odsjeka za razvoj, koordinator ORT-a</w:t>
            </w:r>
          </w:p>
          <w:p w14:paraId="76F452AE"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Kolegijum načelnika JLS</w:t>
            </w:r>
          </w:p>
        </w:tc>
        <w:tc>
          <w:tcPr>
            <w:tcW w:w="1554"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1614C36A" w14:textId="77777777" w:rsidR="000A6B08" w:rsidRPr="00F44561" w:rsidRDefault="000A6B08" w:rsidP="00350813">
            <w:pPr>
              <w:spacing w:line="256" w:lineRule="auto"/>
              <w:rPr>
                <w:rFonts w:cs="Calibri"/>
                <w:sz w:val="18"/>
                <w:szCs w:val="18"/>
                <w:highlight w:val="cyan"/>
              </w:rPr>
            </w:pPr>
            <w:r w:rsidRPr="00F44561">
              <w:rPr>
                <w:rFonts w:cs="Calibri"/>
                <w:sz w:val="18"/>
                <w:szCs w:val="18"/>
                <w:highlight w:val="cyan"/>
              </w:rPr>
              <w:t xml:space="preserve">01-31.10 (prvi nacrt); </w:t>
            </w:r>
          </w:p>
          <w:p w14:paraId="35998A0F" w14:textId="77777777" w:rsidR="000A6B08" w:rsidRPr="00F44561" w:rsidRDefault="000A6B08" w:rsidP="00350813">
            <w:pPr>
              <w:spacing w:line="256" w:lineRule="auto"/>
              <w:rPr>
                <w:rFonts w:cs="Calibri"/>
                <w:sz w:val="18"/>
                <w:szCs w:val="18"/>
                <w:highlight w:val="cyan"/>
              </w:rPr>
            </w:pPr>
            <w:r w:rsidRPr="00F44561">
              <w:rPr>
                <w:rFonts w:cs="Calibri"/>
                <w:sz w:val="18"/>
                <w:szCs w:val="18"/>
                <w:highlight w:val="cyan"/>
              </w:rPr>
              <w:t xml:space="preserve">01-30.11 (drugi nacrt) </w:t>
            </w:r>
          </w:p>
          <w:p w14:paraId="5E521F0A" w14:textId="77777777" w:rsidR="000A6B08" w:rsidRPr="00F44561" w:rsidRDefault="000A6B08" w:rsidP="00350813">
            <w:pPr>
              <w:spacing w:line="256" w:lineRule="auto"/>
              <w:rPr>
                <w:rFonts w:cs="Calibri"/>
                <w:sz w:val="18"/>
                <w:szCs w:val="18"/>
                <w:highlight w:val="cyan"/>
              </w:rPr>
            </w:pPr>
            <w:r w:rsidRPr="00F44561">
              <w:rPr>
                <w:rFonts w:cs="Calibri"/>
                <w:sz w:val="18"/>
                <w:szCs w:val="18"/>
                <w:highlight w:val="cyan"/>
              </w:rPr>
              <w:t>01-15.12 (treći nacrt)</w:t>
            </w:r>
          </w:p>
          <w:p w14:paraId="0F7DA850" w14:textId="77777777" w:rsidR="000A6B08" w:rsidRPr="00F44561" w:rsidRDefault="000A6B08" w:rsidP="00350813">
            <w:pPr>
              <w:spacing w:line="256" w:lineRule="auto"/>
              <w:rPr>
                <w:rFonts w:cs="Calibri"/>
                <w:sz w:val="18"/>
                <w:szCs w:val="18"/>
                <w:highlight w:val="cyan"/>
              </w:rPr>
            </w:pPr>
            <w:r w:rsidRPr="00F44561">
              <w:rPr>
                <w:rFonts w:cs="Calibri"/>
                <w:sz w:val="18"/>
                <w:szCs w:val="18"/>
                <w:highlight w:val="cyan"/>
              </w:rPr>
              <w:t>tekuće godine</w:t>
            </w:r>
          </w:p>
        </w:tc>
      </w:tr>
      <w:tr w:rsidR="00B24827" w:rsidRPr="00F44561" w14:paraId="41E4EF3C" w14:textId="77777777" w:rsidTr="008A07EF">
        <w:tc>
          <w:tcPr>
            <w:tcW w:w="1366" w:type="pct"/>
            <w:tcBorders>
              <w:top w:val="single" w:sz="4" w:space="0" w:color="auto"/>
              <w:left w:val="single" w:sz="4" w:space="0" w:color="auto"/>
              <w:bottom w:val="single" w:sz="4" w:space="0" w:color="auto"/>
              <w:right w:val="single" w:sz="4" w:space="0" w:color="auto"/>
            </w:tcBorders>
            <w:hideMark/>
          </w:tcPr>
          <w:p w14:paraId="66B6179A"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 xml:space="preserve">Usklađivanje planova rada službi/odjeljenja sa usvojenim Budžetom </w:t>
            </w:r>
            <w:r w:rsidRPr="00F44561">
              <w:rPr>
                <w:rFonts w:eastAsia="MS PGothic"/>
                <w:sz w:val="18"/>
                <w:szCs w:val="18"/>
                <w:highlight w:val="cyan"/>
                <w:u w:val="single"/>
              </w:rPr>
              <w:t>za narednu godinu ??</w:t>
            </w:r>
          </w:p>
          <w:p w14:paraId="72B451FF"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(kod JLS koja nije uspostavila PPVI proceduru treba izbrisati iz gornjeg teksta „i godi</w:t>
            </w:r>
            <w:r w:rsidRPr="00F44561">
              <w:rPr>
                <w:rFonts w:eastAsia="MS PGothic"/>
                <w:sz w:val="18"/>
                <w:szCs w:val="18"/>
                <w:highlight w:val="cyan"/>
                <w:lang w:val="bs-Latn-BA"/>
              </w:rPr>
              <w:t>šnjeg plana JLS“</w:t>
            </w:r>
            <w:r w:rsidRPr="00F44561">
              <w:rPr>
                <w:rFonts w:eastAsia="MS PGothic"/>
                <w:sz w:val="18"/>
                <w:szCs w:val="18"/>
                <w:highlight w:val="cyan"/>
              </w:rPr>
              <w:t>)</w:t>
            </w:r>
          </w:p>
        </w:tc>
        <w:tc>
          <w:tcPr>
            <w:tcW w:w="2080" w:type="pct"/>
            <w:tcBorders>
              <w:top w:val="single" w:sz="4" w:space="0" w:color="auto"/>
              <w:left w:val="single" w:sz="4" w:space="0" w:color="auto"/>
              <w:bottom w:val="single" w:sz="4" w:space="0" w:color="auto"/>
              <w:right w:val="single" w:sz="4" w:space="0" w:color="auto"/>
            </w:tcBorders>
            <w:hideMark/>
          </w:tcPr>
          <w:p w14:paraId="0ABAA8CA" w14:textId="77777777" w:rsidR="000A6B08" w:rsidRPr="00F44561" w:rsidRDefault="000A6B08" w:rsidP="00350813">
            <w:pPr>
              <w:spacing w:line="256" w:lineRule="auto"/>
              <w:rPr>
                <w:sz w:val="18"/>
                <w:szCs w:val="18"/>
                <w:highlight w:val="cyan"/>
                <w:lang w:val="bs-Latn-BA"/>
              </w:rPr>
            </w:pPr>
            <w:r w:rsidRPr="00F44561">
              <w:rPr>
                <w:b/>
                <w:bCs/>
                <w:sz w:val="18"/>
                <w:szCs w:val="18"/>
                <w:highlight w:val="cyan"/>
                <w:lang w:val="bs-Latn-BA"/>
              </w:rPr>
              <w:t>Inicijator i vlasnik procesa:</w:t>
            </w:r>
            <w:r w:rsidRPr="00F44561">
              <w:rPr>
                <w:bCs/>
                <w:sz w:val="18"/>
                <w:szCs w:val="18"/>
                <w:highlight w:val="cyan"/>
                <w:lang w:val="bs-Latn-BA"/>
              </w:rPr>
              <w:t xml:space="preserve"> Šef</w:t>
            </w:r>
            <w:r w:rsidRPr="00F44561">
              <w:rPr>
                <w:rFonts w:eastAsia="MS PGothic"/>
                <w:sz w:val="18"/>
                <w:szCs w:val="18"/>
                <w:highlight w:val="cyan"/>
              </w:rPr>
              <w:t xml:space="preserve"> JURA-e ili Koordinator RT-a</w:t>
            </w:r>
          </w:p>
          <w:p w14:paraId="35E9F851" w14:textId="77777777" w:rsidR="000A6B08" w:rsidRPr="00F44561" w:rsidRDefault="000A6B08" w:rsidP="00350813">
            <w:pPr>
              <w:spacing w:line="256" w:lineRule="auto"/>
              <w:rPr>
                <w:rFonts w:eastAsia="MS PGothic"/>
                <w:sz w:val="18"/>
                <w:szCs w:val="18"/>
                <w:highlight w:val="cyan"/>
              </w:rPr>
            </w:pPr>
            <w:r w:rsidRPr="00F44561">
              <w:rPr>
                <w:b/>
                <w:sz w:val="18"/>
                <w:szCs w:val="18"/>
                <w:highlight w:val="cyan"/>
                <w:lang w:val="bs-Latn-BA"/>
              </w:rPr>
              <w:t>Nosioci i učesnici procesa:</w:t>
            </w:r>
            <w:r w:rsidRPr="00F44561">
              <w:rPr>
                <w:sz w:val="18"/>
                <w:szCs w:val="18"/>
                <w:highlight w:val="cyan"/>
                <w:lang w:val="bs-Latn-BA"/>
              </w:rPr>
              <w:t xml:space="preserve"> Šefovi nadležnih službi/odjeljenja</w:t>
            </w:r>
          </w:p>
          <w:p w14:paraId="6BE81856"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Kolegijum načelnika JLS</w:t>
            </w:r>
          </w:p>
        </w:tc>
        <w:tc>
          <w:tcPr>
            <w:tcW w:w="1554" w:type="pct"/>
            <w:gridSpan w:val="2"/>
            <w:tcBorders>
              <w:top w:val="single" w:sz="4" w:space="0" w:color="auto"/>
              <w:left w:val="single" w:sz="4" w:space="0" w:color="auto"/>
              <w:bottom w:val="single" w:sz="4" w:space="0" w:color="auto"/>
              <w:right w:val="single" w:sz="4" w:space="0" w:color="auto"/>
            </w:tcBorders>
          </w:tcPr>
          <w:p w14:paraId="41FA7E13"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 xml:space="preserve">05-15. januar </w:t>
            </w:r>
          </w:p>
          <w:p w14:paraId="41C368DB"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naredne godine</w:t>
            </w:r>
          </w:p>
          <w:p w14:paraId="009A7E1E" w14:textId="77777777" w:rsidR="000A6B08" w:rsidRPr="00F44561" w:rsidRDefault="000A6B08" w:rsidP="00350813">
            <w:pPr>
              <w:spacing w:line="256" w:lineRule="auto"/>
              <w:rPr>
                <w:rFonts w:eastAsia="MS PGothic"/>
                <w:sz w:val="18"/>
                <w:szCs w:val="18"/>
                <w:highlight w:val="cyan"/>
              </w:rPr>
            </w:pPr>
          </w:p>
        </w:tc>
      </w:tr>
      <w:tr w:rsidR="00B24827" w:rsidRPr="00F44561" w14:paraId="7A03C158" w14:textId="77777777" w:rsidTr="008A07EF">
        <w:tc>
          <w:tcPr>
            <w:tcW w:w="1366" w:type="pct"/>
            <w:tcBorders>
              <w:top w:val="single" w:sz="4" w:space="0" w:color="auto"/>
              <w:left w:val="single" w:sz="4" w:space="0" w:color="auto"/>
              <w:bottom w:val="single" w:sz="4" w:space="0" w:color="auto"/>
              <w:right w:val="single" w:sz="4" w:space="0" w:color="auto"/>
            </w:tcBorders>
            <w:shd w:val="clear" w:color="auto" w:fill="DEEAF6"/>
            <w:hideMark/>
          </w:tcPr>
          <w:p w14:paraId="06BA9C54" w14:textId="11A1075B"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Usvajanje objedinjenog Godišnjeg plana rada op</w:t>
            </w:r>
            <w:r w:rsidR="009138A4">
              <w:rPr>
                <w:rFonts w:eastAsia="MS PGothic"/>
                <w:sz w:val="18"/>
                <w:szCs w:val="18"/>
                <w:highlight w:val="cyan"/>
              </w:rPr>
              <w:t>št</w:t>
            </w:r>
            <w:r w:rsidRPr="00F44561">
              <w:rPr>
                <w:rFonts w:eastAsia="MS PGothic"/>
                <w:sz w:val="18"/>
                <w:szCs w:val="18"/>
                <w:highlight w:val="cyan"/>
              </w:rPr>
              <w:t xml:space="preserve">inske uprave </w:t>
            </w:r>
            <w:r w:rsidRPr="00F44561">
              <w:rPr>
                <w:rFonts w:eastAsia="MS PGothic"/>
                <w:sz w:val="18"/>
                <w:szCs w:val="18"/>
                <w:highlight w:val="cyan"/>
                <w:u w:val="single"/>
              </w:rPr>
              <w:t>za narednu godinu</w:t>
            </w:r>
          </w:p>
          <w:p w14:paraId="400C050D"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(samo za JLS koje su uspostavile ili namjeravaju uspostaviti PPVI proceduru)</w:t>
            </w:r>
          </w:p>
        </w:tc>
        <w:tc>
          <w:tcPr>
            <w:tcW w:w="2080" w:type="pct"/>
            <w:tcBorders>
              <w:top w:val="single" w:sz="4" w:space="0" w:color="auto"/>
              <w:left w:val="single" w:sz="4" w:space="0" w:color="auto"/>
              <w:bottom w:val="single" w:sz="4" w:space="0" w:color="auto"/>
              <w:right w:val="single" w:sz="4" w:space="0" w:color="auto"/>
            </w:tcBorders>
            <w:shd w:val="clear" w:color="auto" w:fill="DEEAF6"/>
            <w:hideMark/>
          </w:tcPr>
          <w:p w14:paraId="282AA8F4" w14:textId="77777777" w:rsidR="000A6B08" w:rsidRPr="00F44561" w:rsidRDefault="000A6B08" w:rsidP="00350813">
            <w:pPr>
              <w:spacing w:line="256" w:lineRule="auto"/>
              <w:rPr>
                <w:bCs/>
                <w:sz w:val="18"/>
                <w:szCs w:val="18"/>
                <w:highlight w:val="cyan"/>
                <w:lang w:val="bs-Latn-BA"/>
              </w:rPr>
            </w:pPr>
            <w:r w:rsidRPr="00F44561">
              <w:rPr>
                <w:rFonts w:eastAsia="MS PGothic"/>
                <w:b/>
                <w:sz w:val="18"/>
                <w:szCs w:val="18"/>
                <w:highlight w:val="cyan"/>
              </w:rPr>
              <w:t xml:space="preserve">Inicijator i vlasnik procesa: </w:t>
            </w:r>
            <w:r w:rsidRPr="00F44561">
              <w:rPr>
                <w:rFonts w:eastAsia="MS PGothic"/>
                <w:sz w:val="18"/>
                <w:szCs w:val="18"/>
                <w:highlight w:val="cyan"/>
              </w:rPr>
              <w:t>Kolegijum načelnika JLS</w:t>
            </w:r>
          </w:p>
          <w:p w14:paraId="07A05B55" w14:textId="77777777" w:rsidR="000A6B08" w:rsidRPr="00F44561" w:rsidRDefault="000A6B08" w:rsidP="00350813">
            <w:pPr>
              <w:spacing w:line="256" w:lineRule="auto"/>
              <w:rPr>
                <w:rFonts w:eastAsia="MS PGothic"/>
                <w:sz w:val="18"/>
                <w:szCs w:val="18"/>
                <w:highlight w:val="cyan"/>
              </w:rPr>
            </w:pPr>
            <w:r w:rsidRPr="00F44561">
              <w:rPr>
                <w:b/>
                <w:bCs/>
                <w:sz w:val="18"/>
                <w:szCs w:val="18"/>
                <w:highlight w:val="cyan"/>
                <w:lang w:val="bs-Latn-BA"/>
              </w:rPr>
              <w:t>Nosioci i učesnici u procesu:</w:t>
            </w:r>
            <w:r w:rsidRPr="00F44561">
              <w:rPr>
                <w:bCs/>
                <w:sz w:val="18"/>
                <w:szCs w:val="18"/>
                <w:highlight w:val="cyan"/>
                <w:lang w:val="bs-Latn-BA"/>
              </w:rPr>
              <w:t xml:space="preserve"> Šef</w:t>
            </w:r>
            <w:r w:rsidRPr="00F44561">
              <w:rPr>
                <w:rFonts w:eastAsia="MS PGothic"/>
                <w:sz w:val="18"/>
                <w:szCs w:val="18"/>
                <w:highlight w:val="cyan"/>
              </w:rPr>
              <w:t xml:space="preserve">  JURA-e ili Koordinator RT-a</w:t>
            </w:r>
          </w:p>
        </w:tc>
        <w:tc>
          <w:tcPr>
            <w:tcW w:w="1554"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2DDC7252"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15. januar</w:t>
            </w:r>
          </w:p>
          <w:p w14:paraId="7D1A6E3B"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naredne godine (do sada nije bila praksa da se Plan rada Opštinske uprave usvaja na SO-e)</w:t>
            </w:r>
          </w:p>
        </w:tc>
      </w:tr>
      <w:tr w:rsidR="00B24827" w:rsidRPr="00F44561" w14:paraId="4505DA2C" w14:textId="77777777" w:rsidTr="008A07EF">
        <w:tc>
          <w:tcPr>
            <w:tcW w:w="1366" w:type="pct"/>
            <w:tcBorders>
              <w:top w:val="single" w:sz="4" w:space="0" w:color="auto"/>
              <w:left w:val="single" w:sz="4" w:space="0" w:color="auto"/>
              <w:bottom w:val="single" w:sz="4" w:space="0" w:color="auto"/>
              <w:right w:val="single" w:sz="4" w:space="0" w:color="auto"/>
            </w:tcBorders>
            <w:shd w:val="clear" w:color="auto" w:fill="FFFFFF"/>
            <w:hideMark/>
          </w:tcPr>
          <w:p w14:paraId="7D1D4D2B"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Priprema kalendara za praćenje realizacije Godišnjeg plana JLS</w:t>
            </w:r>
          </w:p>
          <w:p w14:paraId="682662BB"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(samo za JLS koje su uspostavile ili namjeravaju uspostaviti PPVI proceduru)</w:t>
            </w:r>
          </w:p>
        </w:tc>
        <w:tc>
          <w:tcPr>
            <w:tcW w:w="2080" w:type="pct"/>
            <w:tcBorders>
              <w:top w:val="single" w:sz="4" w:space="0" w:color="auto"/>
              <w:left w:val="single" w:sz="4" w:space="0" w:color="auto"/>
              <w:bottom w:val="single" w:sz="4" w:space="0" w:color="auto"/>
              <w:right w:val="single" w:sz="4" w:space="0" w:color="auto"/>
            </w:tcBorders>
            <w:hideMark/>
          </w:tcPr>
          <w:p w14:paraId="23A6805E" w14:textId="77777777" w:rsidR="000A6B08" w:rsidRPr="00F44561" w:rsidRDefault="000A6B08" w:rsidP="00350813">
            <w:pPr>
              <w:spacing w:line="256" w:lineRule="auto"/>
              <w:rPr>
                <w:b/>
                <w:bCs/>
                <w:sz w:val="18"/>
                <w:szCs w:val="18"/>
                <w:highlight w:val="cyan"/>
                <w:lang w:val="bs-Latn-BA"/>
              </w:rPr>
            </w:pPr>
            <w:r w:rsidRPr="00F44561">
              <w:rPr>
                <w:b/>
                <w:bCs/>
                <w:sz w:val="18"/>
                <w:szCs w:val="18"/>
                <w:highlight w:val="cyan"/>
                <w:lang w:val="bs-Latn-BA"/>
              </w:rPr>
              <w:t xml:space="preserve">Inicijator i vlasnik procesa: </w:t>
            </w:r>
          </w:p>
          <w:p w14:paraId="45976739" w14:textId="77777777" w:rsidR="000A6B08" w:rsidRPr="00F44561" w:rsidRDefault="000A6B08" w:rsidP="00350813">
            <w:pPr>
              <w:spacing w:line="256" w:lineRule="auto"/>
              <w:rPr>
                <w:sz w:val="18"/>
                <w:szCs w:val="18"/>
                <w:highlight w:val="cyan"/>
                <w:lang w:val="bs-Latn-BA"/>
              </w:rPr>
            </w:pPr>
            <w:r w:rsidRPr="00F44561">
              <w:rPr>
                <w:bCs/>
                <w:sz w:val="18"/>
                <w:szCs w:val="18"/>
                <w:highlight w:val="cyan"/>
                <w:lang w:val="bs-Latn-BA"/>
              </w:rPr>
              <w:t>Šef</w:t>
            </w:r>
            <w:r w:rsidRPr="00F44561">
              <w:rPr>
                <w:rFonts w:eastAsia="MS PGothic"/>
                <w:sz w:val="18"/>
                <w:szCs w:val="18"/>
                <w:highlight w:val="cyan"/>
              </w:rPr>
              <w:t xml:space="preserve"> JURA-e ili Koordinator razvojnog tima RT-a</w:t>
            </w:r>
          </w:p>
          <w:p w14:paraId="5C5FBDB6" w14:textId="77777777" w:rsidR="000A6B08" w:rsidRPr="00F44561" w:rsidRDefault="000A6B08" w:rsidP="00350813">
            <w:pPr>
              <w:spacing w:line="256" w:lineRule="auto"/>
              <w:rPr>
                <w:b/>
                <w:sz w:val="18"/>
                <w:szCs w:val="18"/>
                <w:highlight w:val="cyan"/>
                <w:lang w:val="bs-Latn-BA"/>
              </w:rPr>
            </w:pPr>
            <w:r w:rsidRPr="00F44561">
              <w:rPr>
                <w:b/>
                <w:bCs/>
                <w:sz w:val="18"/>
                <w:szCs w:val="18"/>
                <w:highlight w:val="cyan"/>
                <w:lang w:val="bs-Latn-BA"/>
              </w:rPr>
              <w:t>Nosioci i učesnici procesa:</w:t>
            </w:r>
          </w:p>
          <w:p w14:paraId="5FFDDE4F" w14:textId="77777777" w:rsidR="000A6B08" w:rsidRPr="00F44561" w:rsidRDefault="000A6B08" w:rsidP="00350813">
            <w:pPr>
              <w:spacing w:line="256" w:lineRule="auto"/>
              <w:rPr>
                <w:bCs/>
                <w:sz w:val="18"/>
                <w:szCs w:val="18"/>
                <w:highlight w:val="cyan"/>
                <w:lang w:val="bs-Latn-BA"/>
              </w:rPr>
            </w:pPr>
            <w:r w:rsidRPr="00F44561">
              <w:rPr>
                <w:sz w:val="18"/>
                <w:szCs w:val="18"/>
                <w:highlight w:val="cyan"/>
                <w:lang w:val="bs-Latn-BA"/>
              </w:rPr>
              <w:t>Ostali službenici JURA-a/RT-a</w:t>
            </w:r>
          </w:p>
        </w:tc>
        <w:tc>
          <w:tcPr>
            <w:tcW w:w="1554" w:type="pct"/>
            <w:gridSpan w:val="2"/>
            <w:tcBorders>
              <w:top w:val="single" w:sz="4" w:space="0" w:color="auto"/>
              <w:left w:val="single" w:sz="4" w:space="0" w:color="auto"/>
              <w:bottom w:val="single" w:sz="4" w:space="0" w:color="auto"/>
              <w:right w:val="single" w:sz="4" w:space="0" w:color="auto"/>
            </w:tcBorders>
            <w:hideMark/>
          </w:tcPr>
          <w:p w14:paraId="29466BD2"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31 januar</w:t>
            </w:r>
          </w:p>
          <w:p w14:paraId="0DA31914"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naredne godine</w:t>
            </w:r>
          </w:p>
        </w:tc>
      </w:tr>
      <w:tr w:rsidR="00B24827" w:rsidRPr="00F44561" w14:paraId="117C76F8" w14:textId="77777777" w:rsidTr="008A07EF">
        <w:tc>
          <w:tcPr>
            <w:tcW w:w="1366" w:type="pct"/>
            <w:tcBorders>
              <w:top w:val="single" w:sz="4" w:space="0" w:color="auto"/>
              <w:left w:val="single" w:sz="4" w:space="0" w:color="auto"/>
              <w:bottom w:val="single" w:sz="4" w:space="0" w:color="auto"/>
              <w:right w:val="single" w:sz="4" w:space="0" w:color="auto"/>
            </w:tcBorders>
            <w:shd w:val="clear" w:color="auto" w:fill="DEEAF6"/>
            <w:hideMark/>
          </w:tcPr>
          <w:p w14:paraId="0C8FB5E2"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 xml:space="preserve">Razrada projekata </w:t>
            </w:r>
          </w:p>
        </w:tc>
        <w:tc>
          <w:tcPr>
            <w:tcW w:w="2080" w:type="pct"/>
            <w:tcBorders>
              <w:top w:val="single" w:sz="4" w:space="0" w:color="auto"/>
              <w:left w:val="single" w:sz="4" w:space="0" w:color="auto"/>
              <w:bottom w:val="single" w:sz="4" w:space="0" w:color="auto"/>
              <w:right w:val="single" w:sz="4" w:space="0" w:color="auto"/>
            </w:tcBorders>
            <w:shd w:val="clear" w:color="auto" w:fill="DEEAF6"/>
            <w:hideMark/>
          </w:tcPr>
          <w:p w14:paraId="00416829" w14:textId="77777777" w:rsidR="000A6B08" w:rsidRPr="00F44561" w:rsidRDefault="000A6B08" w:rsidP="00350813">
            <w:pPr>
              <w:spacing w:line="256" w:lineRule="auto"/>
              <w:rPr>
                <w:sz w:val="18"/>
                <w:szCs w:val="18"/>
                <w:highlight w:val="cyan"/>
                <w:lang w:val="bs-Latn-BA"/>
              </w:rPr>
            </w:pPr>
            <w:r w:rsidRPr="00F44561">
              <w:rPr>
                <w:b/>
                <w:bCs/>
                <w:sz w:val="18"/>
                <w:szCs w:val="18"/>
                <w:highlight w:val="cyan"/>
                <w:lang w:val="bs-Latn-BA"/>
              </w:rPr>
              <w:t>Inicijator i vlasnik procesa:</w:t>
            </w:r>
            <w:r w:rsidRPr="00F44561">
              <w:rPr>
                <w:bCs/>
                <w:sz w:val="18"/>
                <w:szCs w:val="18"/>
                <w:highlight w:val="cyan"/>
                <w:lang w:val="bs-Latn-BA"/>
              </w:rPr>
              <w:t xml:space="preserve"> Šef</w:t>
            </w:r>
            <w:r w:rsidRPr="00F44561">
              <w:rPr>
                <w:rFonts w:eastAsia="MS PGothic"/>
                <w:sz w:val="18"/>
                <w:szCs w:val="18"/>
                <w:highlight w:val="cyan"/>
              </w:rPr>
              <w:t xml:space="preserve"> Odsjeka za razvoj i preduzetništvo i Koordinator ORT-a</w:t>
            </w:r>
          </w:p>
          <w:p w14:paraId="6845A431" w14:textId="77777777" w:rsidR="000A6B08" w:rsidRPr="00F44561" w:rsidRDefault="000A6B08" w:rsidP="00350813">
            <w:pPr>
              <w:spacing w:line="256" w:lineRule="auto"/>
              <w:rPr>
                <w:sz w:val="18"/>
                <w:szCs w:val="18"/>
                <w:highlight w:val="cyan"/>
                <w:lang w:val="bs-Latn-BA"/>
              </w:rPr>
            </w:pPr>
            <w:r w:rsidRPr="00F44561">
              <w:rPr>
                <w:b/>
                <w:sz w:val="18"/>
                <w:szCs w:val="18"/>
                <w:highlight w:val="cyan"/>
                <w:lang w:val="bs-Latn-BA"/>
              </w:rPr>
              <w:t>Nosioci i učesnici procesa:</w:t>
            </w:r>
            <w:r w:rsidRPr="00F44561">
              <w:rPr>
                <w:sz w:val="18"/>
                <w:szCs w:val="18"/>
                <w:highlight w:val="cyan"/>
                <w:lang w:val="bs-Latn-BA"/>
              </w:rPr>
              <w:t xml:space="preserve"> Ostali službenici Odsjeka za razvoj i članovi ORT-a</w:t>
            </w:r>
          </w:p>
          <w:p w14:paraId="52B8C797"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 xml:space="preserve">Nadležne službe/odjeljenja </w:t>
            </w:r>
          </w:p>
        </w:tc>
        <w:tc>
          <w:tcPr>
            <w:tcW w:w="1554"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15CDC147"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Kontinuirano</w:t>
            </w:r>
          </w:p>
        </w:tc>
      </w:tr>
      <w:tr w:rsidR="00B24827" w:rsidRPr="00F44561" w14:paraId="755C2AAA" w14:textId="77777777" w:rsidTr="008A07EF">
        <w:tc>
          <w:tcPr>
            <w:tcW w:w="1366" w:type="pct"/>
            <w:tcBorders>
              <w:top w:val="single" w:sz="4" w:space="0" w:color="auto"/>
              <w:left w:val="single" w:sz="4" w:space="0" w:color="auto"/>
              <w:bottom w:val="single" w:sz="4" w:space="0" w:color="auto"/>
              <w:right w:val="single" w:sz="4" w:space="0" w:color="auto"/>
            </w:tcBorders>
            <w:hideMark/>
          </w:tcPr>
          <w:p w14:paraId="6EECC814"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Praćenje eksternih izvora finansiranja</w:t>
            </w:r>
          </w:p>
        </w:tc>
        <w:tc>
          <w:tcPr>
            <w:tcW w:w="2080" w:type="pct"/>
            <w:tcBorders>
              <w:top w:val="single" w:sz="4" w:space="0" w:color="auto"/>
              <w:left w:val="single" w:sz="4" w:space="0" w:color="auto"/>
              <w:bottom w:val="single" w:sz="4" w:space="0" w:color="auto"/>
              <w:right w:val="single" w:sz="4" w:space="0" w:color="auto"/>
            </w:tcBorders>
            <w:hideMark/>
          </w:tcPr>
          <w:p w14:paraId="0CC4AC1E" w14:textId="77777777" w:rsidR="000A6B08" w:rsidRPr="00F44561" w:rsidRDefault="000A6B08" w:rsidP="00350813">
            <w:pPr>
              <w:spacing w:line="256" w:lineRule="auto"/>
              <w:rPr>
                <w:sz w:val="18"/>
                <w:szCs w:val="18"/>
                <w:highlight w:val="cyan"/>
                <w:lang w:val="bs-Latn-BA"/>
              </w:rPr>
            </w:pPr>
            <w:r w:rsidRPr="00F44561">
              <w:rPr>
                <w:b/>
                <w:bCs/>
                <w:sz w:val="18"/>
                <w:szCs w:val="18"/>
                <w:highlight w:val="cyan"/>
                <w:lang w:val="bs-Latn-BA"/>
              </w:rPr>
              <w:t>Inicijator i vlasnik procesa:</w:t>
            </w:r>
            <w:r w:rsidRPr="00F44561">
              <w:rPr>
                <w:rFonts w:eastAsia="MS PGothic"/>
                <w:sz w:val="18"/>
                <w:szCs w:val="18"/>
                <w:highlight w:val="cyan"/>
              </w:rPr>
              <w:t xml:space="preserve"> Odsjek za razvoj i preduezetništvo </w:t>
            </w:r>
          </w:p>
          <w:p w14:paraId="700BB052" w14:textId="77777777" w:rsidR="000A6B08" w:rsidRPr="00F44561" w:rsidRDefault="000A6B08" w:rsidP="00350813">
            <w:pPr>
              <w:tabs>
                <w:tab w:val="left" w:pos="60"/>
                <w:tab w:val="left" w:pos="724"/>
                <w:tab w:val="left" w:pos="2940"/>
              </w:tabs>
              <w:autoSpaceDE w:val="0"/>
              <w:autoSpaceDN w:val="0"/>
              <w:spacing w:line="256" w:lineRule="auto"/>
              <w:jc w:val="both"/>
              <w:rPr>
                <w:rFonts w:eastAsia="MS PGothic"/>
                <w:b/>
                <w:sz w:val="18"/>
                <w:szCs w:val="18"/>
                <w:highlight w:val="cyan"/>
              </w:rPr>
            </w:pPr>
            <w:r w:rsidRPr="00F44561">
              <w:rPr>
                <w:rFonts w:eastAsia="MS PGothic"/>
                <w:b/>
                <w:sz w:val="18"/>
                <w:szCs w:val="18"/>
                <w:highlight w:val="cyan"/>
              </w:rPr>
              <w:t xml:space="preserve">Nosioci i učesnici procesa: </w:t>
            </w:r>
          </w:p>
          <w:p w14:paraId="0B782730" w14:textId="77777777" w:rsidR="000A6B08" w:rsidRPr="00F44561" w:rsidRDefault="000A6B08" w:rsidP="00350813">
            <w:pPr>
              <w:tabs>
                <w:tab w:val="left" w:pos="60"/>
                <w:tab w:val="left" w:pos="724"/>
                <w:tab w:val="left" w:pos="2940"/>
              </w:tabs>
              <w:autoSpaceDE w:val="0"/>
              <w:autoSpaceDN w:val="0"/>
              <w:spacing w:line="256" w:lineRule="auto"/>
              <w:jc w:val="both"/>
              <w:rPr>
                <w:rFonts w:eastAsia="MS PGothic"/>
                <w:sz w:val="18"/>
                <w:szCs w:val="18"/>
                <w:highlight w:val="cyan"/>
              </w:rPr>
            </w:pPr>
            <w:r w:rsidRPr="00F44561">
              <w:rPr>
                <w:rFonts w:eastAsia="MS PGothic"/>
                <w:sz w:val="18"/>
                <w:szCs w:val="18"/>
                <w:highlight w:val="cyan"/>
              </w:rPr>
              <w:t>Nadležne službe/odjeljenja</w:t>
            </w:r>
          </w:p>
          <w:p w14:paraId="1B841769" w14:textId="77777777" w:rsidR="000A6B08" w:rsidRPr="00F44561" w:rsidRDefault="000A6B08" w:rsidP="00350813">
            <w:pPr>
              <w:spacing w:line="256" w:lineRule="auto"/>
              <w:rPr>
                <w:rFonts w:eastAsia="MS PGothic"/>
                <w:sz w:val="18"/>
                <w:szCs w:val="18"/>
                <w:highlight w:val="cyan"/>
              </w:rPr>
            </w:pPr>
            <w:r w:rsidRPr="00F44561">
              <w:rPr>
                <w:sz w:val="18"/>
                <w:szCs w:val="18"/>
                <w:highlight w:val="cyan"/>
                <w:lang w:val="bs-Latn-BA"/>
              </w:rPr>
              <w:t>Ostali službenici Odsjeka za razvoj i preduzetništvo i članovi ORT-a</w:t>
            </w:r>
          </w:p>
        </w:tc>
        <w:tc>
          <w:tcPr>
            <w:tcW w:w="1554" w:type="pct"/>
            <w:gridSpan w:val="2"/>
            <w:tcBorders>
              <w:top w:val="single" w:sz="4" w:space="0" w:color="auto"/>
              <w:left w:val="single" w:sz="4" w:space="0" w:color="auto"/>
              <w:bottom w:val="single" w:sz="4" w:space="0" w:color="auto"/>
              <w:right w:val="single" w:sz="4" w:space="0" w:color="auto"/>
            </w:tcBorders>
            <w:hideMark/>
          </w:tcPr>
          <w:p w14:paraId="3582C8BF"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Kontinuirano</w:t>
            </w:r>
          </w:p>
        </w:tc>
      </w:tr>
      <w:tr w:rsidR="00B24827" w:rsidRPr="00F44561" w14:paraId="32A093A3" w14:textId="77777777" w:rsidTr="008A07EF">
        <w:tc>
          <w:tcPr>
            <w:tcW w:w="5000" w:type="pct"/>
            <w:gridSpan w:val="4"/>
            <w:tcBorders>
              <w:top w:val="single" w:sz="4" w:space="0" w:color="auto"/>
              <w:left w:val="single" w:sz="4" w:space="0" w:color="auto"/>
              <w:bottom w:val="single" w:sz="4" w:space="0" w:color="auto"/>
              <w:right w:val="single" w:sz="4" w:space="0" w:color="auto"/>
            </w:tcBorders>
            <w:shd w:val="clear" w:color="auto" w:fill="1F497D"/>
            <w:hideMark/>
          </w:tcPr>
          <w:p w14:paraId="6BDDAF72" w14:textId="77777777" w:rsidR="000A6B08" w:rsidRPr="00F44561" w:rsidRDefault="000A6B08" w:rsidP="00350813">
            <w:pPr>
              <w:spacing w:after="120" w:line="256" w:lineRule="auto"/>
              <w:contextualSpacing/>
              <w:jc w:val="center"/>
              <w:rPr>
                <w:b/>
                <w:highlight w:val="cyan"/>
                <w:lang w:val="bs-Latn-BA"/>
              </w:rPr>
            </w:pPr>
            <w:r w:rsidRPr="00F44561">
              <w:rPr>
                <w:b/>
                <w:highlight w:val="cyan"/>
                <w:lang w:val="bs-Latn-BA"/>
              </w:rPr>
              <w:t>Osnovne uloge i odgovornosti za implementaciju , praćenje i vrednovanje strategije</w:t>
            </w:r>
          </w:p>
        </w:tc>
      </w:tr>
      <w:tr w:rsidR="00B24827" w:rsidRPr="00F44561" w14:paraId="0F764AA7" w14:textId="77777777" w:rsidTr="008A07EF">
        <w:tc>
          <w:tcPr>
            <w:tcW w:w="1366" w:type="pct"/>
            <w:tcBorders>
              <w:top w:val="single" w:sz="4" w:space="0" w:color="auto"/>
              <w:left w:val="single" w:sz="4" w:space="0" w:color="auto"/>
              <w:bottom w:val="single" w:sz="4" w:space="0" w:color="auto"/>
              <w:right w:val="single" w:sz="4" w:space="0" w:color="auto"/>
            </w:tcBorders>
            <w:shd w:val="clear" w:color="auto" w:fill="B8CCE4"/>
            <w:hideMark/>
          </w:tcPr>
          <w:p w14:paraId="554CAB5B" w14:textId="77777777" w:rsidR="000A6B08" w:rsidRPr="00F44561" w:rsidRDefault="000A6B08" w:rsidP="00350813">
            <w:pPr>
              <w:spacing w:after="120" w:line="256" w:lineRule="auto"/>
              <w:contextualSpacing/>
              <w:jc w:val="center"/>
              <w:rPr>
                <w:b/>
                <w:strike/>
                <w:highlight w:val="cyan"/>
                <w:lang w:val="bs-Latn-BA"/>
              </w:rPr>
            </w:pPr>
            <w:r w:rsidRPr="00F44561">
              <w:rPr>
                <w:b/>
                <w:highlight w:val="cyan"/>
                <w:lang w:val="bs-Latn-BA"/>
              </w:rPr>
              <w:t>Aktivnosti</w:t>
            </w:r>
            <w:r w:rsidRPr="00F44561">
              <w:rPr>
                <w:b/>
                <w:highlight w:val="cyan"/>
                <w:vertAlign w:val="superscript"/>
                <w:lang w:val="bs-Latn-BA"/>
              </w:rPr>
              <w:t>(*)</w:t>
            </w:r>
          </w:p>
        </w:tc>
        <w:tc>
          <w:tcPr>
            <w:tcW w:w="2320" w:type="pct"/>
            <w:gridSpan w:val="2"/>
            <w:tcBorders>
              <w:top w:val="single" w:sz="4" w:space="0" w:color="auto"/>
              <w:left w:val="single" w:sz="4" w:space="0" w:color="auto"/>
              <w:bottom w:val="single" w:sz="4" w:space="0" w:color="auto"/>
              <w:right w:val="single" w:sz="4" w:space="0" w:color="auto"/>
            </w:tcBorders>
            <w:shd w:val="clear" w:color="auto" w:fill="B8CCE4"/>
            <w:hideMark/>
          </w:tcPr>
          <w:p w14:paraId="7956A569" w14:textId="77777777" w:rsidR="000A6B08" w:rsidRPr="00F44561" w:rsidRDefault="000A6B08" w:rsidP="00350813">
            <w:pPr>
              <w:spacing w:after="120" w:line="256" w:lineRule="auto"/>
              <w:contextualSpacing/>
              <w:jc w:val="center"/>
              <w:rPr>
                <w:b/>
                <w:highlight w:val="cyan"/>
                <w:lang w:val="bs-Latn-BA"/>
              </w:rPr>
            </w:pPr>
            <w:r w:rsidRPr="00F44561">
              <w:rPr>
                <w:b/>
                <w:highlight w:val="cyan"/>
                <w:lang w:val="bs-Latn-BA"/>
              </w:rPr>
              <w:t>Nadležnost (ko?) /</w:t>
            </w:r>
          </w:p>
        </w:tc>
        <w:tc>
          <w:tcPr>
            <w:tcW w:w="1314" w:type="pct"/>
            <w:tcBorders>
              <w:top w:val="single" w:sz="4" w:space="0" w:color="auto"/>
              <w:left w:val="single" w:sz="4" w:space="0" w:color="auto"/>
              <w:bottom w:val="single" w:sz="4" w:space="0" w:color="auto"/>
              <w:right w:val="single" w:sz="4" w:space="0" w:color="auto"/>
            </w:tcBorders>
            <w:shd w:val="clear" w:color="auto" w:fill="B8CCE4"/>
            <w:hideMark/>
          </w:tcPr>
          <w:p w14:paraId="0C14A7CE" w14:textId="77777777" w:rsidR="000A6B08" w:rsidRPr="00F44561" w:rsidRDefault="000A6B08" w:rsidP="00350813">
            <w:pPr>
              <w:spacing w:after="120" w:line="256" w:lineRule="auto"/>
              <w:contextualSpacing/>
              <w:jc w:val="center"/>
              <w:rPr>
                <w:b/>
                <w:highlight w:val="cyan"/>
                <w:lang w:val="bs-Latn-BA"/>
              </w:rPr>
            </w:pPr>
            <w:r w:rsidRPr="00F44561">
              <w:rPr>
                <w:b/>
                <w:highlight w:val="cyan"/>
                <w:lang w:val="bs-Latn-BA"/>
              </w:rPr>
              <w:t>Rok (okvirno kada ?)</w:t>
            </w:r>
          </w:p>
        </w:tc>
      </w:tr>
      <w:tr w:rsidR="00B24827" w:rsidRPr="00F44561" w14:paraId="44752148" w14:textId="77777777" w:rsidTr="008A07EF">
        <w:tc>
          <w:tcPr>
            <w:tcW w:w="1366" w:type="pct"/>
            <w:tcBorders>
              <w:top w:val="single" w:sz="4" w:space="0" w:color="auto"/>
              <w:left w:val="single" w:sz="4" w:space="0" w:color="auto"/>
              <w:bottom w:val="single" w:sz="4" w:space="0" w:color="auto"/>
              <w:right w:val="single" w:sz="4" w:space="0" w:color="auto"/>
            </w:tcBorders>
            <w:shd w:val="clear" w:color="auto" w:fill="DEEAF6"/>
            <w:hideMark/>
          </w:tcPr>
          <w:p w14:paraId="481AA0B7"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Praćenje provođenja Plana implementacije strategije</w:t>
            </w:r>
          </w:p>
        </w:tc>
        <w:tc>
          <w:tcPr>
            <w:tcW w:w="232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4094613A" w14:textId="77777777" w:rsidR="000A6B08" w:rsidRPr="00F44561" w:rsidRDefault="000A6B08" w:rsidP="00350813">
            <w:pPr>
              <w:spacing w:line="256" w:lineRule="auto"/>
              <w:rPr>
                <w:rFonts w:eastAsia="MS PGothic"/>
                <w:sz w:val="18"/>
                <w:szCs w:val="18"/>
                <w:highlight w:val="cyan"/>
              </w:rPr>
            </w:pPr>
            <w:r w:rsidRPr="00F44561">
              <w:rPr>
                <w:b/>
                <w:bCs/>
                <w:sz w:val="18"/>
                <w:szCs w:val="18"/>
                <w:highlight w:val="cyan"/>
                <w:lang w:val="bs-Latn-BA"/>
              </w:rPr>
              <w:t>Inicijator i vlasnik procesa:</w:t>
            </w:r>
            <w:r w:rsidRPr="00F44561">
              <w:rPr>
                <w:bCs/>
                <w:sz w:val="18"/>
                <w:szCs w:val="18"/>
                <w:highlight w:val="cyan"/>
                <w:lang w:val="bs-Latn-BA"/>
              </w:rPr>
              <w:t xml:space="preserve"> Načelnik Odjeljenja za lokalni ekonomski razvoj i društvene djelatnosti</w:t>
            </w:r>
            <w:r w:rsidRPr="00F44561">
              <w:rPr>
                <w:rFonts w:eastAsia="MS PGothic"/>
                <w:sz w:val="18"/>
                <w:szCs w:val="18"/>
                <w:highlight w:val="cyan"/>
              </w:rPr>
              <w:t xml:space="preserve"> - Koordinator ORT-a</w:t>
            </w:r>
            <w:r w:rsidRPr="00F44561">
              <w:rPr>
                <w:bCs/>
                <w:sz w:val="18"/>
                <w:szCs w:val="18"/>
                <w:highlight w:val="cyan"/>
                <w:lang w:val="bs-Latn-BA"/>
              </w:rPr>
              <w:t>, Šef</w:t>
            </w:r>
            <w:r w:rsidRPr="00F44561">
              <w:rPr>
                <w:rFonts w:eastAsia="MS PGothic"/>
                <w:sz w:val="18"/>
                <w:szCs w:val="18"/>
                <w:highlight w:val="cyan"/>
                <w:lang w:val="bs-Latn-BA"/>
              </w:rPr>
              <w:t xml:space="preserve"> </w:t>
            </w:r>
            <w:r w:rsidRPr="00F44561">
              <w:rPr>
                <w:rFonts w:eastAsia="MS PGothic"/>
                <w:sz w:val="18"/>
                <w:szCs w:val="18"/>
                <w:highlight w:val="cyan"/>
              </w:rPr>
              <w:t xml:space="preserve">Odsjeka za razvoj i preduzetništvo </w:t>
            </w:r>
          </w:p>
          <w:p w14:paraId="1762B242" w14:textId="77777777" w:rsidR="000A6B08" w:rsidRPr="00F44561" w:rsidRDefault="000A6B08" w:rsidP="00350813">
            <w:pPr>
              <w:spacing w:line="256" w:lineRule="auto"/>
              <w:rPr>
                <w:b/>
                <w:sz w:val="18"/>
                <w:szCs w:val="18"/>
                <w:highlight w:val="cyan"/>
                <w:lang w:val="bs-Latn-BA"/>
              </w:rPr>
            </w:pPr>
            <w:r w:rsidRPr="00F44561">
              <w:rPr>
                <w:b/>
                <w:sz w:val="18"/>
                <w:szCs w:val="18"/>
                <w:highlight w:val="cyan"/>
                <w:lang w:val="bs-Latn-BA"/>
              </w:rPr>
              <w:t xml:space="preserve">Nosioci i učesnici procesa: </w:t>
            </w:r>
          </w:p>
          <w:p w14:paraId="405D4CB1" w14:textId="77777777" w:rsidR="000A6B08" w:rsidRPr="00F44561" w:rsidRDefault="000A6B08" w:rsidP="00350813">
            <w:pPr>
              <w:spacing w:line="256" w:lineRule="auto"/>
              <w:rPr>
                <w:sz w:val="18"/>
                <w:szCs w:val="18"/>
                <w:highlight w:val="cyan"/>
              </w:rPr>
            </w:pPr>
            <w:r w:rsidRPr="00F44561">
              <w:rPr>
                <w:sz w:val="18"/>
                <w:szCs w:val="18"/>
                <w:highlight w:val="cyan"/>
                <w:lang w:val="bs-Latn-BA"/>
              </w:rPr>
              <w:t>Ostali službenici Odsjeka za razvoj, članovi ORT-a</w:t>
            </w:r>
          </w:p>
          <w:p w14:paraId="5653FD6A"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Načelnici odjeljenja</w:t>
            </w:r>
          </w:p>
        </w:tc>
        <w:tc>
          <w:tcPr>
            <w:tcW w:w="1314" w:type="pct"/>
            <w:tcBorders>
              <w:top w:val="single" w:sz="4" w:space="0" w:color="auto"/>
              <w:left w:val="single" w:sz="4" w:space="0" w:color="auto"/>
              <w:bottom w:val="single" w:sz="4" w:space="0" w:color="auto"/>
              <w:right w:val="single" w:sz="4" w:space="0" w:color="auto"/>
            </w:tcBorders>
            <w:shd w:val="clear" w:color="auto" w:fill="DEEAF6"/>
            <w:hideMark/>
          </w:tcPr>
          <w:p w14:paraId="6F2DA08D" w14:textId="77777777" w:rsidR="000A6B08" w:rsidRPr="00F44561" w:rsidRDefault="000A6B08" w:rsidP="00350813">
            <w:pPr>
              <w:spacing w:line="256" w:lineRule="auto"/>
              <w:rPr>
                <w:rFonts w:eastAsia="MS PGothic"/>
                <w:sz w:val="18"/>
                <w:szCs w:val="18"/>
                <w:highlight w:val="cyan"/>
                <w:lang w:val="sr-Cyrl-BA"/>
              </w:rPr>
            </w:pPr>
            <w:r w:rsidRPr="00F44561">
              <w:rPr>
                <w:rFonts w:eastAsia="MS PGothic"/>
                <w:sz w:val="18"/>
                <w:szCs w:val="18"/>
                <w:highlight w:val="cyan"/>
                <w:lang w:val="sr-Cyrl-BA"/>
              </w:rPr>
              <w:t>Kontinuirano</w:t>
            </w:r>
          </w:p>
        </w:tc>
      </w:tr>
      <w:tr w:rsidR="00B24827" w:rsidRPr="00F44561" w14:paraId="183908DD" w14:textId="77777777" w:rsidTr="008A07EF">
        <w:tc>
          <w:tcPr>
            <w:tcW w:w="1366" w:type="pct"/>
            <w:tcBorders>
              <w:top w:val="single" w:sz="4" w:space="0" w:color="auto"/>
              <w:left w:val="single" w:sz="4" w:space="0" w:color="auto"/>
              <w:bottom w:val="single" w:sz="4" w:space="0" w:color="auto"/>
              <w:right w:val="single" w:sz="4" w:space="0" w:color="auto"/>
            </w:tcBorders>
          </w:tcPr>
          <w:p w14:paraId="5C8A9BE6"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Praćenje implementacije i izrada izvještaja o realizaciji godišnjih planova rada službi</w:t>
            </w:r>
          </w:p>
          <w:p w14:paraId="4C8BB11A" w14:textId="77777777" w:rsidR="000A6B08" w:rsidRPr="00F44561" w:rsidRDefault="000A6B08" w:rsidP="00350813">
            <w:pPr>
              <w:spacing w:line="256" w:lineRule="auto"/>
              <w:rPr>
                <w:rFonts w:eastAsia="MS PGothic"/>
                <w:sz w:val="18"/>
                <w:szCs w:val="18"/>
                <w:highlight w:val="cyan"/>
              </w:rPr>
            </w:pPr>
          </w:p>
        </w:tc>
        <w:tc>
          <w:tcPr>
            <w:tcW w:w="2320" w:type="pct"/>
            <w:gridSpan w:val="2"/>
            <w:tcBorders>
              <w:top w:val="single" w:sz="4" w:space="0" w:color="auto"/>
              <w:left w:val="single" w:sz="4" w:space="0" w:color="auto"/>
              <w:bottom w:val="single" w:sz="4" w:space="0" w:color="auto"/>
              <w:right w:val="single" w:sz="4" w:space="0" w:color="auto"/>
            </w:tcBorders>
            <w:hideMark/>
          </w:tcPr>
          <w:p w14:paraId="26161787" w14:textId="77777777" w:rsidR="000A6B08" w:rsidRPr="00F44561" w:rsidRDefault="000A6B08" w:rsidP="00350813">
            <w:pPr>
              <w:spacing w:line="256" w:lineRule="auto"/>
              <w:rPr>
                <w:rFonts w:eastAsia="MS PGothic"/>
                <w:sz w:val="18"/>
                <w:szCs w:val="18"/>
                <w:highlight w:val="cyan"/>
              </w:rPr>
            </w:pPr>
            <w:r w:rsidRPr="00F44561">
              <w:rPr>
                <w:rFonts w:eastAsia="MS PGothic"/>
                <w:b/>
                <w:sz w:val="18"/>
                <w:szCs w:val="18"/>
                <w:highlight w:val="cyan"/>
              </w:rPr>
              <w:t>Inicijator i vlasnik procesa:</w:t>
            </w:r>
            <w:r w:rsidRPr="00F44561">
              <w:rPr>
                <w:rFonts w:eastAsia="MS PGothic"/>
                <w:sz w:val="18"/>
                <w:szCs w:val="18"/>
                <w:highlight w:val="cyan"/>
              </w:rPr>
              <w:t xml:space="preserve"> Načelnici odjeljenja </w:t>
            </w:r>
          </w:p>
          <w:p w14:paraId="38914ACB" w14:textId="77777777" w:rsidR="000A6B08" w:rsidRPr="00F44561" w:rsidRDefault="000A6B08" w:rsidP="00350813">
            <w:pPr>
              <w:spacing w:line="256" w:lineRule="auto"/>
              <w:rPr>
                <w:rFonts w:eastAsia="MS PGothic"/>
                <w:b/>
                <w:sz w:val="18"/>
                <w:szCs w:val="18"/>
                <w:highlight w:val="cyan"/>
              </w:rPr>
            </w:pPr>
            <w:r w:rsidRPr="00F44561">
              <w:rPr>
                <w:rFonts w:eastAsia="MS PGothic"/>
                <w:b/>
                <w:sz w:val="18"/>
                <w:szCs w:val="18"/>
                <w:highlight w:val="cyan"/>
              </w:rPr>
              <w:t>Nosioci i učesnici procesa:</w:t>
            </w:r>
          </w:p>
          <w:p w14:paraId="38EF22CA"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Kolegijum načelnika JLS</w:t>
            </w:r>
          </w:p>
          <w:p w14:paraId="49167F71" w14:textId="77777777" w:rsidR="000A6B08" w:rsidRPr="00F44561" w:rsidRDefault="000A6B08" w:rsidP="00350813">
            <w:pPr>
              <w:spacing w:line="256" w:lineRule="auto"/>
              <w:rPr>
                <w:rFonts w:eastAsia="MS PGothic"/>
                <w:sz w:val="18"/>
                <w:szCs w:val="18"/>
                <w:highlight w:val="cyan"/>
              </w:rPr>
            </w:pPr>
            <w:r w:rsidRPr="00F44561">
              <w:rPr>
                <w:bCs/>
                <w:sz w:val="18"/>
                <w:szCs w:val="18"/>
                <w:highlight w:val="cyan"/>
                <w:lang w:val="bs-Latn-BA"/>
              </w:rPr>
              <w:t>Šef</w:t>
            </w:r>
            <w:r w:rsidRPr="00F44561">
              <w:rPr>
                <w:rFonts w:eastAsia="MS PGothic"/>
                <w:sz w:val="18"/>
                <w:szCs w:val="18"/>
                <w:highlight w:val="cyan"/>
                <w:lang w:val="bs-Latn-BA"/>
              </w:rPr>
              <w:t xml:space="preserve"> </w:t>
            </w:r>
            <w:r w:rsidRPr="00F44561">
              <w:rPr>
                <w:rFonts w:eastAsia="MS PGothic"/>
                <w:sz w:val="18"/>
                <w:szCs w:val="18"/>
                <w:highlight w:val="cyan"/>
              </w:rPr>
              <w:t>Odsjeka za razvoj i preduzetništvo ili Koordinator ORT-a</w:t>
            </w:r>
          </w:p>
          <w:p w14:paraId="7F23E6A4" w14:textId="77777777" w:rsidR="000A6B08" w:rsidRPr="00F44561" w:rsidRDefault="000A6B08" w:rsidP="00350813">
            <w:pPr>
              <w:spacing w:line="256" w:lineRule="auto"/>
              <w:rPr>
                <w:rFonts w:eastAsia="MS PGothic"/>
                <w:sz w:val="18"/>
                <w:szCs w:val="18"/>
                <w:highlight w:val="cyan"/>
              </w:rPr>
            </w:pPr>
            <w:r w:rsidRPr="00F44561">
              <w:rPr>
                <w:sz w:val="18"/>
                <w:szCs w:val="18"/>
                <w:highlight w:val="cyan"/>
                <w:lang w:val="bs-Latn-BA"/>
              </w:rPr>
              <w:lastRenderedPageBreak/>
              <w:t>Ostali službenici Odsjeka zarazvoj i preduzetništvo i članovi ORT-a</w:t>
            </w:r>
          </w:p>
        </w:tc>
        <w:tc>
          <w:tcPr>
            <w:tcW w:w="1314" w:type="pct"/>
            <w:tcBorders>
              <w:top w:val="single" w:sz="4" w:space="0" w:color="auto"/>
              <w:left w:val="single" w:sz="4" w:space="0" w:color="auto"/>
              <w:bottom w:val="single" w:sz="4" w:space="0" w:color="auto"/>
              <w:right w:val="single" w:sz="4" w:space="0" w:color="auto"/>
            </w:tcBorders>
            <w:hideMark/>
          </w:tcPr>
          <w:p w14:paraId="1F54248E" w14:textId="77777777" w:rsidR="000A6B08" w:rsidRPr="00F44561" w:rsidRDefault="000A6B08" w:rsidP="00350813">
            <w:pPr>
              <w:spacing w:line="256" w:lineRule="auto"/>
              <w:rPr>
                <w:rFonts w:eastAsia="MS PGothic"/>
                <w:sz w:val="18"/>
                <w:szCs w:val="18"/>
                <w:highlight w:val="cyan"/>
              </w:rPr>
            </w:pPr>
            <w:r w:rsidRPr="00F44561">
              <w:rPr>
                <w:rFonts w:eastAsia="MS PGothic"/>
                <w:b/>
                <w:sz w:val="18"/>
                <w:szCs w:val="18"/>
                <w:highlight w:val="cyan"/>
              </w:rPr>
              <w:lastRenderedPageBreak/>
              <w:t>Mjesečno</w:t>
            </w:r>
            <w:r w:rsidRPr="00F44561">
              <w:rPr>
                <w:rFonts w:eastAsia="MS PGothic"/>
                <w:sz w:val="18"/>
                <w:szCs w:val="18"/>
                <w:highlight w:val="cyan"/>
              </w:rPr>
              <w:t>: Kolegij načelnika</w:t>
            </w:r>
          </w:p>
          <w:p w14:paraId="7A0B228A" w14:textId="77777777" w:rsidR="000A6B08" w:rsidRPr="00F44561" w:rsidRDefault="000A6B08" w:rsidP="00350813">
            <w:pPr>
              <w:spacing w:line="256" w:lineRule="auto"/>
              <w:rPr>
                <w:rFonts w:eastAsia="MS PGothic"/>
                <w:sz w:val="18"/>
                <w:szCs w:val="18"/>
                <w:highlight w:val="cyan"/>
              </w:rPr>
            </w:pPr>
            <w:r w:rsidRPr="00F44561">
              <w:rPr>
                <w:rFonts w:eastAsia="MS PGothic"/>
                <w:b/>
                <w:sz w:val="18"/>
                <w:szCs w:val="18"/>
                <w:highlight w:val="cyan"/>
              </w:rPr>
              <w:t xml:space="preserve">Godišnje: </w:t>
            </w:r>
            <w:r w:rsidRPr="00F44561">
              <w:rPr>
                <w:rFonts w:eastAsia="MS PGothic"/>
                <w:sz w:val="18"/>
                <w:szCs w:val="18"/>
                <w:highlight w:val="cyan"/>
              </w:rPr>
              <w:t>Do 30. jun (za prethodnu godinu)  Do sada nije bila praksa da se sačinjavaju polugodišnji izvještaji</w:t>
            </w:r>
          </w:p>
        </w:tc>
      </w:tr>
      <w:tr w:rsidR="00B24827" w:rsidRPr="00F44561" w14:paraId="598134F1" w14:textId="77777777" w:rsidTr="008A07EF">
        <w:tc>
          <w:tcPr>
            <w:tcW w:w="1366" w:type="pct"/>
            <w:tcBorders>
              <w:top w:val="single" w:sz="4" w:space="0" w:color="auto"/>
              <w:left w:val="single" w:sz="4" w:space="0" w:color="auto"/>
              <w:bottom w:val="single" w:sz="4" w:space="0" w:color="auto"/>
              <w:right w:val="single" w:sz="4" w:space="0" w:color="auto"/>
            </w:tcBorders>
            <w:shd w:val="clear" w:color="auto" w:fill="DEEAF6"/>
            <w:hideMark/>
          </w:tcPr>
          <w:p w14:paraId="5F15BC28"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Uključivanje Partnerske grupe u praćenje implementacije strategije</w:t>
            </w:r>
          </w:p>
        </w:tc>
        <w:tc>
          <w:tcPr>
            <w:tcW w:w="232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5FE03B5F" w14:textId="77777777" w:rsidR="000A6B08" w:rsidRPr="00F44561" w:rsidRDefault="000A6B08" w:rsidP="00350813">
            <w:pPr>
              <w:spacing w:line="256" w:lineRule="auto"/>
              <w:rPr>
                <w:rFonts w:eastAsia="MS PGothic"/>
                <w:sz w:val="18"/>
                <w:szCs w:val="18"/>
                <w:highlight w:val="cyan"/>
              </w:rPr>
            </w:pPr>
            <w:r w:rsidRPr="00F44561">
              <w:rPr>
                <w:b/>
                <w:bCs/>
                <w:sz w:val="18"/>
                <w:szCs w:val="18"/>
                <w:highlight w:val="cyan"/>
                <w:lang w:val="bs-Latn-BA"/>
              </w:rPr>
              <w:t xml:space="preserve">Inicijator i vlasnik procesa: </w:t>
            </w:r>
            <w:r w:rsidRPr="00F44561">
              <w:rPr>
                <w:rFonts w:eastAsia="MS PGothic"/>
                <w:sz w:val="18"/>
                <w:szCs w:val="18"/>
                <w:highlight w:val="cyan"/>
              </w:rPr>
              <w:t>Koordinator ORT-a</w:t>
            </w:r>
          </w:p>
          <w:p w14:paraId="38529A7B" w14:textId="77777777" w:rsidR="000A6B08" w:rsidRPr="00F44561" w:rsidRDefault="000A6B08" w:rsidP="00350813">
            <w:pPr>
              <w:spacing w:line="256" w:lineRule="auto"/>
              <w:rPr>
                <w:b/>
                <w:sz w:val="18"/>
                <w:szCs w:val="18"/>
                <w:highlight w:val="cyan"/>
                <w:lang w:val="bs-Latn-BA"/>
              </w:rPr>
            </w:pPr>
            <w:r w:rsidRPr="00F44561">
              <w:rPr>
                <w:b/>
                <w:sz w:val="18"/>
                <w:szCs w:val="18"/>
                <w:highlight w:val="cyan"/>
                <w:lang w:val="bs-Latn-BA"/>
              </w:rPr>
              <w:t xml:space="preserve">Nosioci i učesnici u procesu: </w:t>
            </w:r>
            <w:r w:rsidRPr="00F44561">
              <w:rPr>
                <w:sz w:val="18"/>
                <w:szCs w:val="18"/>
                <w:highlight w:val="cyan"/>
                <w:lang w:val="bs-Latn-BA"/>
              </w:rPr>
              <w:t>službenici</w:t>
            </w:r>
            <w:r w:rsidRPr="00F44561">
              <w:rPr>
                <w:b/>
                <w:sz w:val="18"/>
                <w:szCs w:val="18"/>
                <w:highlight w:val="cyan"/>
                <w:lang w:val="bs-Latn-BA"/>
              </w:rPr>
              <w:t xml:space="preserve"> </w:t>
            </w:r>
            <w:r w:rsidRPr="00F44561">
              <w:rPr>
                <w:sz w:val="18"/>
                <w:szCs w:val="18"/>
                <w:highlight w:val="cyan"/>
                <w:lang w:val="bs-Latn-BA"/>
              </w:rPr>
              <w:t>Odsjeka za razvoj i preduzetništvo i članovi ORT-a</w:t>
            </w:r>
          </w:p>
          <w:p w14:paraId="53FD3AE5" w14:textId="77777777" w:rsidR="000A6B08" w:rsidRPr="00F44561" w:rsidRDefault="000A6B08" w:rsidP="00350813">
            <w:pPr>
              <w:spacing w:line="256" w:lineRule="auto"/>
              <w:rPr>
                <w:rFonts w:eastAsia="MS PGothic"/>
                <w:sz w:val="18"/>
                <w:szCs w:val="18"/>
                <w:highlight w:val="cyan"/>
                <w:lang w:val="bs-Latn-BA"/>
              </w:rPr>
            </w:pPr>
            <w:r w:rsidRPr="00F44561">
              <w:rPr>
                <w:rFonts w:eastAsia="MS PGothic"/>
                <w:sz w:val="18"/>
                <w:szCs w:val="18"/>
                <w:highlight w:val="cyan"/>
                <w:lang w:val="bs-Latn-BA"/>
              </w:rPr>
              <w:t>Partnerska grupa/Opštinski razvojni tim</w:t>
            </w:r>
          </w:p>
        </w:tc>
        <w:tc>
          <w:tcPr>
            <w:tcW w:w="1314" w:type="pct"/>
            <w:tcBorders>
              <w:top w:val="single" w:sz="4" w:space="0" w:color="auto"/>
              <w:left w:val="single" w:sz="4" w:space="0" w:color="auto"/>
              <w:bottom w:val="single" w:sz="4" w:space="0" w:color="auto"/>
              <w:right w:val="single" w:sz="4" w:space="0" w:color="auto"/>
            </w:tcBorders>
            <w:shd w:val="clear" w:color="auto" w:fill="DEEAF6"/>
            <w:hideMark/>
          </w:tcPr>
          <w:p w14:paraId="34C957B5" w14:textId="77777777" w:rsidR="000A6B08" w:rsidRPr="00F44561" w:rsidRDefault="000A6B08" w:rsidP="00350813">
            <w:pPr>
              <w:spacing w:line="256" w:lineRule="auto"/>
              <w:rPr>
                <w:rFonts w:eastAsia="MS PGothic"/>
                <w:b/>
                <w:sz w:val="18"/>
                <w:szCs w:val="18"/>
                <w:highlight w:val="cyan"/>
              </w:rPr>
            </w:pPr>
            <w:r w:rsidRPr="00F44561">
              <w:rPr>
                <w:rFonts w:eastAsia="MS PGothic"/>
                <w:b/>
                <w:sz w:val="18"/>
                <w:szCs w:val="18"/>
                <w:highlight w:val="cyan"/>
              </w:rPr>
              <w:t>Prvi sastanak PG:</w:t>
            </w:r>
          </w:p>
          <w:p w14:paraId="2B367F8A"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Do 31. jul (za prethodnu godinu)</w:t>
            </w:r>
          </w:p>
          <w:p w14:paraId="64C7A13B"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ORT smatra da bi jedan sastanak PG bio dovoljan, osim ako nije metodologijom drugačije predviđeno?</w:t>
            </w:r>
          </w:p>
        </w:tc>
      </w:tr>
      <w:tr w:rsidR="00B24827" w:rsidRPr="00F44561" w14:paraId="00469141" w14:textId="77777777" w:rsidTr="008A07EF">
        <w:tc>
          <w:tcPr>
            <w:tcW w:w="1366" w:type="pct"/>
            <w:tcBorders>
              <w:top w:val="single" w:sz="4" w:space="0" w:color="auto"/>
              <w:left w:val="single" w:sz="4" w:space="0" w:color="auto"/>
              <w:bottom w:val="single" w:sz="4" w:space="0" w:color="auto"/>
              <w:right w:val="single" w:sz="4" w:space="0" w:color="auto"/>
            </w:tcBorders>
            <w:shd w:val="clear" w:color="auto" w:fill="FFFFFF"/>
            <w:hideMark/>
          </w:tcPr>
          <w:p w14:paraId="4CD8D997"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Izrada Godišnjeg izvještaja o realizaciji strategije razvoja</w:t>
            </w:r>
          </w:p>
        </w:tc>
        <w:tc>
          <w:tcPr>
            <w:tcW w:w="232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620601B" w14:textId="77777777" w:rsidR="000A6B08" w:rsidRPr="00F44561" w:rsidRDefault="000A6B08" w:rsidP="00350813">
            <w:pPr>
              <w:spacing w:line="256" w:lineRule="auto"/>
              <w:rPr>
                <w:rFonts w:eastAsia="MS PGothic"/>
                <w:sz w:val="18"/>
                <w:szCs w:val="18"/>
                <w:highlight w:val="cyan"/>
              </w:rPr>
            </w:pPr>
            <w:r w:rsidRPr="00F44561">
              <w:rPr>
                <w:b/>
                <w:bCs/>
                <w:sz w:val="18"/>
                <w:szCs w:val="18"/>
                <w:highlight w:val="cyan"/>
                <w:lang w:val="bs-Latn-BA"/>
              </w:rPr>
              <w:t>Inicijator i vlasnik procesa:</w:t>
            </w:r>
            <w:r w:rsidRPr="00F44561">
              <w:rPr>
                <w:bCs/>
                <w:sz w:val="18"/>
                <w:szCs w:val="18"/>
                <w:highlight w:val="cyan"/>
                <w:lang w:val="bs-Latn-BA"/>
              </w:rPr>
              <w:t xml:space="preserve"> Načelnik Odjeljenja za lokalni ekonomski razvoj i društvene djelatnosti - </w:t>
            </w:r>
            <w:r w:rsidRPr="00F44561">
              <w:rPr>
                <w:rFonts w:eastAsia="MS PGothic"/>
                <w:sz w:val="18"/>
                <w:szCs w:val="18"/>
                <w:highlight w:val="cyan"/>
              </w:rPr>
              <w:t>Koordinator ORT-a</w:t>
            </w:r>
          </w:p>
          <w:p w14:paraId="1313B504" w14:textId="77777777" w:rsidR="000A6B08" w:rsidRPr="00F44561" w:rsidRDefault="000A6B08" w:rsidP="00350813">
            <w:pPr>
              <w:spacing w:line="256" w:lineRule="auto"/>
              <w:rPr>
                <w:b/>
                <w:sz w:val="18"/>
                <w:szCs w:val="18"/>
                <w:highlight w:val="cyan"/>
                <w:lang w:val="bs-Latn-BA"/>
              </w:rPr>
            </w:pPr>
            <w:r w:rsidRPr="00F44561">
              <w:rPr>
                <w:b/>
                <w:sz w:val="18"/>
                <w:szCs w:val="18"/>
                <w:highlight w:val="cyan"/>
                <w:lang w:val="bs-Latn-BA"/>
              </w:rPr>
              <w:t>Nosioci i učesnici u procesu:</w:t>
            </w:r>
          </w:p>
          <w:p w14:paraId="76141FAF" w14:textId="77777777" w:rsidR="000A6B08" w:rsidRPr="00F44561" w:rsidRDefault="000A6B08" w:rsidP="00350813">
            <w:pPr>
              <w:spacing w:line="256" w:lineRule="auto"/>
              <w:rPr>
                <w:rFonts w:eastAsia="MS PGothic"/>
                <w:sz w:val="18"/>
                <w:szCs w:val="18"/>
                <w:highlight w:val="cyan"/>
                <w:lang w:val="bs-Latn-BA"/>
              </w:rPr>
            </w:pPr>
            <w:r w:rsidRPr="00F44561">
              <w:rPr>
                <w:sz w:val="18"/>
                <w:szCs w:val="18"/>
                <w:highlight w:val="cyan"/>
                <w:lang w:val="bs-Latn-BA"/>
              </w:rPr>
              <w:t>Ostali službenici Odsjeka za razvoj i članovi ORT-a</w:t>
            </w:r>
          </w:p>
          <w:p w14:paraId="7D10767B"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Šefovi službi/odjeljenja</w:t>
            </w:r>
          </w:p>
        </w:tc>
        <w:tc>
          <w:tcPr>
            <w:tcW w:w="1314" w:type="pct"/>
            <w:tcBorders>
              <w:top w:val="single" w:sz="4" w:space="0" w:color="auto"/>
              <w:left w:val="single" w:sz="4" w:space="0" w:color="auto"/>
              <w:bottom w:val="single" w:sz="4" w:space="0" w:color="auto"/>
              <w:right w:val="single" w:sz="4" w:space="0" w:color="auto"/>
            </w:tcBorders>
            <w:shd w:val="clear" w:color="auto" w:fill="FFFFFF"/>
            <w:hideMark/>
          </w:tcPr>
          <w:p w14:paraId="7B9E3AE6"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do 30. jun naredne godine u odnosu na onu za koju se priprema izvještaj  (drugi kvartal, nakon usvajanja Izvještaja o izvršenju budžeta, po budžetskom kvartalu mora ići do kraja maja)</w:t>
            </w:r>
          </w:p>
        </w:tc>
      </w:tr>
      <w:tr w:rsidR="00B24827" w:rsidRPr="00F44561" w14:paraId="2AA3AC08" w14:textId="77777777" w:rsidTr="008A07EF">
        <w:tc>
          <w:tcPr>
            <w:tcW w:w="1366" w:type="pct"/>
            <w:tcBorders>
              <w:top w:val="single" w:sz="4" w:space="0" w:color="auto"/>
              <w:left w:val="single" w:sz="4" w:space="0" w:color="auto"/>
              <w:bottom w:val="single" w:sz="4" w:space="0" w:color="auto"/>
              <w:right w:val="single" w:sz="4" w:space="0" w:color="auto"/>
            </w:tcBorders>
            <w:shd w:val="clear" w:color="auto" w:fill="DEEAF6"/>
            <w:hideMark/>
          </w:tcPr>
          <w:p w14:paraId="2E3F1C4B" w14:textId="77777777" w:rsidR="000A6B08" w:rsidRPr="00F44561" w:rsidRDefault="000A6B08" w:rsidP="00350813">
            <w:pPr>
              <w:spacing w:before="60" w:after="60" w:line="256" w:lineRule="auto"/>
              <w:rPr>
                <w:rFonts w:eastAsia="MS PGothic"/>
                <w:sz w:val="18"/>
                <w:szCs w:val="18"/>
                <w:highlight w:val="cyan"/>
              </w:rPr>
            </w:pPr>
            <w:r w:rsidRPr="00F44561">
              <w:rPr>
                <w:rFonts w:eastAsia="MS PGothic"/>
                <w:sz w:val="18"/>
                <w:szCs w:val="18"/>
                <w:highlight w:val="cyan"/>
              </w:rPr>
              <w:t>Ostale važne aktivnosti:</w:t>
            </w:r>
          </w:p>
          <w:p w14:paraId="462D2D22" w14:textId="77777777" w:rsidR="000A6B08" w:rsidRPr="00F44561" w:rsidRDefault="000A6B08" w:rsidP="000A6B08">
            <w:pPr>
              <w:pStyle w:val="ListParagraph"/>
              <w:widowControl w:val="0"/>
              <w:numPr>
                <w:ilvl w:val="0"/>
                <w:numId w:val="28"/>
              </w:numPr>
              <w:overflowPunct w:val="0"/>
              <w:adjustRightInd w:val="0"/>
              <w:spacing w:before="60" w:after="60" w:line="240" w:lineRule="auto"/>
              <w:ind w:left="144" w:hanging="144"/>
              <w:jc w:val="left"/>
              <w:rPr>
                <w:rFonts w:eastAsia="MS PGothic"/>
                <w:sz w:val="18"/>
                <w:szCs w:val="18"/>
                <w:highlight w:val="cyan"/>
              </w:rPr>
            </w:pPr>
            <w:r w:rsidRPr="00F44561">
              <w:rPr>
                <w:rFonts w:eastAsia="MS PGothic"/>
                <w:sz w:val="18"/>
                <w:szCs w:val="18"/>
                <w:highlight w:val="cyan"/>
              </w:rPr>
              <w:t>Redovno ažuriranje web stranice JLS u domenu informacija koje se odnose na razvojne aktivnosti</w:t>
            </w:r>
          </w:p>
          <w:p w14:paraId="4E2948F1" w14:textId="77777777" w:rsidR="000A6B08" w:rsidRPr="00F44561" w:rsidRDefault="000A6B08" w:rsidP="000A6B08">
            <w:pPr>
              <w:pStyle w:val="ListParagraph"/>
              <w:widowControl w:val="0"/>
              <w:numPr>
                <w:ilvl w:val="0"/>
                <w:numId w:val="28"/>
              </w:numPr>
              <w:overflowPunct w:val="0"/>
              <w:adjustRightInd w:val="0"/>
              <w:spacing w:before="60" w:after="60" w:line="240" w:lineRule="auto"/>
              <w:ind w:left="144" w:hanging="144"/>
              <w:jc w:val="left"/>
              <w:rPr>
                <w:rFonts w:eastAsia="MS PGothic"/>
                <w:sz w:val="18"/>
                <w:szCs w:val="18"/>
                <w:highlight w:val="cyan"/>
              </w:rPr>
            </w:pPr>
            <w:r w:rsidRPr="00F44561">
              <w:rPr>
                <w:rFonts w:eastAsia="MS PGothic"/>
                <w:sz w:val="18"/>
                <w:szCs w:val="18"/>
                <w:highlight w:val="cyan"/>
              </w:rPr>
              <w:t>Redovni kontakti sa višim nivoima vlasti</w:t>
            </w:r>
          </w:p>
          <w:p w14:paraId="20E02C5B" w14:textId="615A4D0C" w:rsidR="000A6B08" w:rsidRPr="00F44561" w:rsidRDefault="000A6B08" w:rsidP="000A6B08">
            <w:pPr>
              <w:pStyle w:val="ListParagraph"/>
              <w:widowControl w:val="0"/>
              <w:numPr>
                <w:ilvl w:val="0"/>
                <w:numId w:val="28"/>
              </w:numPr>
              <w:overflowPunct w:val="0"/>
              <w:adjustRightInd w:val="0"/>
              <w:spacing w:before="60" w:after="60" w:line="240" w:lineRule="auto"/>
              <w:ind w:left="144" w:hanging="144"/>
              <w:jc w:val="left"/>
              <w:rPr>
                <w:rFonts w:eastAsia="MS PGothic"/>
                <w:sz w:val="18"/>
                <w:szCs w:val="18"/>
                <w:highlight w:val="cyan"/>
              </w:rPr>
            </w:pPr>
            <w:r w:rsidRPr="00F44561">
              <w:rPr>
                <w:rFonts w:eastAsia="MS PGothic"/>
                <w:sz w:val="18"/>
                <w:szCs w:val="18"/>
                <w:highlight w:val="cyan"/>
              </w:rPr>
              <w:t>Uspostavljanje i unaprijeđenje međuop</w:t>
            </w:r>
            <w:r w:rsidR="009138A4">
              <w:rPr>
                <w:rFonts w:eastAsia="MS PGothic"/>
                <w:sz w:val="18"/>
                <w:szCs w:val="18"/>
                <w:highlight w:val="cyan"/>
              </w:rPr>
              <w:t>št</w:t>
            </w:r>
            <w:r w:rsidRPr="00F44561">
              <w:rPr>
                <w:rFonts w:eastAsia="MS PGothic"/>
                <w:sz w:val="18"/>
                <w:szCs w:val="18"/>
                <w:highlight w:val="cyan"/>
              </w:rPr>
              <w:t>inske/međuopštinske saradnje</w:t>
            </w:r>
          </w:p>
        </w:tc>
        <w:tc>
          <w:tcPr>
            <w:tcW w:w="232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53125AA0" w14:textId="77777777" w:rsidR="000A6B08" w:rsidRPr="00F44561" w:rsidRDefault="000A6B08" w:rsidP="00350813">
            <w:pPr>
              <w:spacing w:line="256" w:lineRule="auto"/>
              <w:rPr>
                <w:rFonts w:eastAsia="MS PGothic"/>
                <w:sz w:val="18"/>
                <w:szCs w:val="18"/>
                <w:highlight w:val="cyan"/>
              </w:rPr>
            </w:pPr>
            <w:r w:rsidRPr="00F44561">
              <w:rPr>
                <w:b/>
                <w:bCs/>
                <w:sz w:val="18"/>
                <w:szCs w:val="18"/>
                <w:highlight w:val="cyan"/>
                <w:lang w:val="bs-Latn-BA"/>
              </w:rPr>
              <w:t>Inicijator i vlasnik procesa:</w:t>
            </w:r>
            <w:r w:rsidRPr="00F44561">
              <w:rPr>
                <w:bCs/>
                <w:sz w:val="18"/>
                <w:szCs w:val="18"/>
                <w:highlight w:val="cyan"/>
                <w:lang w:val="bs-Latn-BA"/>
              </w:rPr>
              <w:t xml:space="preserve"> Načelnik Odjeljenja za lokalni ekonomski razvoj i društvene delatnosti-</w:t>
            </w:r>
            <w:r w:rsidRPr="00F44561">
              <w:rPr>
                <w:rFonts w:eastAsia="MS PGothic"/>
                <w:sz w:val="18"/>
                <w:szCs w:val="18"/>
                <w:highlight w:val="cyan"/>
              </w:rPr>
              <w:t xml:space="preserve"> Koordinator ORT-a</w:t>
            </w:r>
            <w:r w:rsidRPr="00F44561">
              <w:rPr>
                <w:bCs/>
                <w:sz w:val="18"/>
                <w:szCs w:val="18"/>
                <w:highlight w:val="cyan"/>
                <w:lang w:val="bs-Latn-BA"/>
              </w:rPr>
              <w:t>, Šef</w:t>
            </w:r>
            <w:r w:rsidRPr="00F44561">
              <w:rPr>
                <w:rFonts w:eastAsia="MS PGothic"/>
                <w:sz w:val="18"/>
                <w:szCs w:val="18"/>
                <w:highlight w:val="cyan"/>
                <w:lang w:val="bs-Latn-BA"/>
              </w:rPr>
              <w:t xml:space="preserve"> </w:t>
            </w:r>
            <w:r w:rsidRPr="00F44561">
              <w:rPr>
                <w:rFonts w:eastAsia="MS PGothic"/>
                <w:sz w:val="18"/>
                <w:szCs w:val="18"/>
                <w:highlight w:val="cyan"/>
              </w:rPr>
              <w:t xml:space="preserve">Odsjeka za razvoj i preduzetništvo, Šef Odsjeka za društvene djelatnosti, dijasporu i nacionalne manjine </w:t>
            </w:r>
          </w:p>
          <w:p w14:paraId="022B957A" w14:textId="77777777" w:rsidR="000A6B08" w:rsidRPr="00F44561" w:rsidRDefault="000A6B08" w:rsidP="00350813">
            <w:pPr>
              <w:spacing w:line="256" w:lineRule="auto"/>
              <w:rPr>
                <w:b/>
                <w:sz w:val="18"/>
                <w:szCs w:val="18"/>
                <w:highlight w:val="cyan"/>
                <w:lang w:val="bs-Latn-BA"/>
              </w:rPr>
            </w:pPr>
            <w:r w:rsidRPr="00F44561">
              <w:rPr>
                <w:b/>
                <w:sz w:val="18"/>
                <w:szCs w:val="18"/>
                <w:highlight w:val="cyan"/>
                <w:lang w:val="bs-Latn-BA"/>
              </w:rPr>
              <w:t>Nosioci i učesnici:</w:t>
            </w:r>
          </w:p>
          <w:p w14:paraId="5D122BA1" w14:textId="77777777" w:rsidR="000A6B08" w:rsidRPr="00F44561" w:rsidRDefault="000A6B08" w:rsidP="00350813">
            <w:pPr>
              <w:spacing w:line="256" w:lineRule="auto"/>
              <w:rPr>
                <w:sz w:val="18"/>
                <w:szCs w:val="18"/>
                <w:highlight w:val="cyan"/>
                <w:lang w:val="bs-Latn-BA"/>
              </w:rPr>
            </w:pPr>
            <w:r w:rsidRPr="00F44561">
              <w:rPr>
                <w:sz w:val="18"/>
                <w:szCs w:val="18"/>
                <w:highlight w:val="cyan"/>
                <w:lang w:val="bs-Latn-BA"/>
              </w:rPr>
              <w:t>Ostali službenici Odjeljenja za lokalni ekonomski razvoj i društvene delatnosti i članovi ORT-a</w:t>
            </w:r>
          </w:p>
          <w:p w14:paraId="1D20B62E" w14:textId="77777777" w:rsidR="000A6B08" w:rsidRPr="00F44561" w:rsidRDefault="000A6B08" w:rsidP="00350813">
            <w:pPr>
              <w:spacing w:line="256" w:lineRule="auto"/>
              <w:rPr>
                <w:rFonts w:eastAsia="MS PGothic"/>
                <w:sz w:val="18"/>
                <w:szCs w:val="18"/>
                <w:highlight w:val="cyan"/>
              </w:rPr>
            </w:pPr>
            <w:r w:rsidRPr="00F44561">
              <w:rPr>
                <w:sz w:val="18"/>
                <w:szCs w:val="18"/>
                <w:highlight w:val="cyan"/>
                <w:lang w:val="bs-Latn-BA"/>
              </w:rPr>
              <w:t xml:space="preserve">Stručni saradnik za administriranje web stranice i nadzor nad informacionim sistemom </w:t>
            </w:r>
          </w:p>
        </w:tc>
        <w:tc>
          <w:tcPr>
            <w:tcW w:w="1314" w:type="pct"/>
            <w:tcBorders>
              <w:top w:val="single" w:sz="4" w:space="0" w:color="auto"/>
              <w:left w:val="single" w:sz="4" w:space="0" w:color="auto"/>
              <w:bottom w:val="single" w:sz="4" w:space="0" w:color="auto"/>
              <w:right w:val="single" w:sz="4" w:space="0" w:color="auto"/>
            </w:tcBorders>
            <w:shd w:val="clear" w:color="auto" w:fill="DEEAF6"/>
            <w:hideMark/>
          </w:tcPr>
          <w:p w14:paraId="0AF9C267" w14:textId="77777777" w:rsidR="000A6B08" w:rsidRPr="00F44561" w:rsidRDefault="000A6B08" w:rsidP="00350813">
            <w:pPr>
              <w:spacing w:line="256" w:lineRule="auto"/>
              <w:rPr>
                <w:rFonts w:eastAsia="MS PGothic"/>
                <w:sz w:val="18"/>
                <w:szCs w:val="18"/>
                <w:highlight w:val="cyan"/>
              </w:rPr>
            </w:pPr>
            <w:r w:rsidRPr="00F44561">
              <w:rPr>
                <w:rFonts w:eastAsia="MS PGothic"/>
                <w:sz w:val="18"/>
                <w:szCs w:val="18"/>
                <w:highlight w:val="cyan"/>
              </w:rPr>
              <w:t>Kontinuirano</w:t>
            </w:r>
          </w:p>
        </w:tc>
      </w:tr>
    </w:tbl>
    <w:p w14:paraId="5B0AA918" w14:textId="77777777" w:rsidR="004F4EE7" w:rsidRDefault="004F4EE7" w:rsidP="004F4EE7">
      <w:pPr>
        <w:rPr>
          <w:rFonts w:ascii="Myriad Pro" w:hAnsi="Myriad Pro"/>
          <w:b/>
          <w:bCs/>
          <w:lang w:val="bs-Latn-BA"/>
        </w:rPr>
      </w:pPr>
    </w:p>
    <w:p w14:paraId="709CB73F" w14:textId="77777777" w:rsidR="004F4EE7" w:rsidRDefault="004F4EE7" w:rsidP="004F4EE7">
      <w:pPr>
        <w:spacing w:after="60"/>
        <w:rPr>
          <w:rFonts w:ascii="Myriad Pro" w:hAnsi="Myriad Pro"/>
          <w:bCs/>
          <w:sz w:val="18"/>
          <w:lang w:val="bs-Latn-BA"/>
        </w:rPr>
      </w:pPr>
      <w:r>
        <w:rPr>
          <w:rFonts w:ascii="Myriad Pro" w:hAnsi="Myriad Pro"/>
          <w:bCs/>
          <w:sz w:val="18"/>
          <w:lang w:val="bs-Latn-BA"/>
        </w:rPr>
        <w:t>Napomene:</w:t>
      </w:r>
    </w:p>
    <w:p w14:paraId="472ED8FB" w14:textId="77777777" w:rsidR="004F4EE7" w:rsidRDefault="004F4EE7" w:rsidP="004F4EE7">
      <w:pPr>
        <w:spacing w:after="60"/>
        <w:rPr>
          <w:rFonts w:ascii="Myriad Pro" w:hAnsi="Myriad Pro"/>
          <w:bCs/>
          <w:sz w:val="18"/>
          <w:lang w:val="bs-Latn-BA"/>
        </w:rPr>
      </w:pPr>
      <w:r w:rsidRPr="00F16EDC">
        <w:rPr>
          <w:rFonts w:ascii="Myriad Pro" w:hAnsi="Myriad Pro"/>
          <w:bCs/>
          <w:sz w:val="18"/>
          <w:lang w:val="bs-Latn-BA"/>
        </w:rPr>
        <w:t xml:space="preserve">(*) </w:t>
      </w:r>
      <w:r>
        <w:rPr>
          <w:rFonts w:ascii="Myriad Pro" w:hAnsi="Myriad Pro"/>
          <w:bCs/>
          <w:sz w:val="18"/>
          <w:lang w:val="bs-Latn-BA"/>
        </w:rPr>
        <w:t>Preporučene a</w:t>
      </w:r>
      <w:r w:rsidRPr="00F16EDC">
        <w:rPr>
          <w:rFonts w:ascii="Myriad Pro" w:hAnsi="Myriad Pro"/>
          <w:bCs/>
          <w:sz w:val="18"/>
          <w:lang w:val="bs-Latn-BA"/>
        </w:rPr>
        <w:t xml:space="preserve">ktivnosti se odnose na </w:t>
      </w:r>
      <w:r>
        <w:rPr>
          <w:rFonts w:ascii="Myriad Pro" w:hAnsi="Myriad Pro"/>
          <w:bCs/>
          <w:sz w:val="18"/>
          <w:lang w:val="bs-Latn-BA"/>
        </w:rPr>
        <w:t>godišnji</w:t>
      </w:r>
      <w:r w:rsidRPr="00F16EDC">
        <w:rPr>
          <w:rFonts w:ascii="Myriad Pro" w:hAnsi="Myriad Pro"/>
          <w:bCs/>
          <w:sz w:val="18"/>
          <w:lang w:val="bs-Latn-BA"/>
        </w:rPr>
        <w:t xml:space="preserve"> ciklus planiranja</w:t>
      </w:r>
      <w:r>
        <w:rPr>
          <w:rFonts w:ascii="Myriad Pro" w:hAnsi="Myriad Pro"/>
          <w:bCs/>
          <w:sz w:val="18"/>
          <w:lang w:val="bs-Latn-BA"/>
        </w:rPr>
        <w:t>, praćenja, vrednovanja i izvještavanja</w:t>
      </w:r>
      <w:r w:rsidRPr="00F16EDC">
        <w:rPr>
          <w:rFonts w:ascii="Myriad Pro" w:hAnsi="Myriad Pro"/>
          <w:bCs/>
          <w:sz w:val="18"/>
          <w:lang w:val="bs-Latn-BA"/>
        </w:rPr>
        <w:t xml:space="preserve"> i za svaki naredni ciklus se ponavljaju. </w:t>
      </w:r>
      <w:r>
        <w:rPr>
          <w:rFonts w:ascii="Myriad Pro" w:hAnsi="Myriad Pro"/>
          <w:bCs/>
          <w:sz w:val="18"/>
          <w:lang w:val="bs-Latn-BA"/>
        </w:rPr>
        <w:t xml:space="preserve">Preporučene aktivnosti se </w:t>
      </w:r>
    </w:p>
    <w:p w14:paraId="6B470101" w14:textId="77777777" w:rsidR="004F4EE7" w:rsidRPr="00F16EDC" w:rsidRDefault="004F4EE7" w:rsidP="004F4EE7">
      <w:pPr>
        <w:spacing w:after="60"/>
        <w:rPr>
          <w:rFonts w:ascii="Myriad Pro" w:hAnsi="Myriad Pro"/>
          <w:bCs/>
          <w:sz w:val="18"/>
          <w:lang w:val="bs-Latn-BA"/>
        </w:rPr>
      </w:pPr>
      <w:r>
        <w:rPr>
          <w:rFonts w:ascii="Myriad Pro" w:hAnsi="Myriad Pro"/>
          <w:bCs/>
          <w:sz w:val="18"/>
          <w:lang w:val="bs-Latn-BA"/>
        </w:rPr>
        <w:t>prilagođavaju specifičnostima regulatornog okvira kao i tekuće prakse JLS. Aktivnosti naznačene kao „samo za JLS koje su uspostavile ili namjeravaju uspostaviti PPVI proceduru“ se brišu iz pregleda JLS koje nemaju uspostavljen PPVI ili ga ne namjeravaju uspostaviti.</w:t>
      </w:r>
    </w:p>
    <w:p w14:paraId="1DFE6BD1" w14:textId="77777777" w:rsidR="004F4EE7" w:rsidRDefault="004F4EE7" w:rsidP="004F4EE7">
      <w:pPr>
        <w:spacing w:after="60"/>
        <w:rPr>
          <w:rFonts w:ascii="Myriad Pro" w:hAnsi="Myriad Pro"/>
          <w:bCs/>
          <w:sz w:val="18"/>
          <w:lang w:val="bs-Latn-BA"/>
        </w:rPr>
      </w:pPr>
      <w:r w:rsidRPr="00F16EDC">
        <w:rPr>
          <w:rFonts w:ascii="Myriad Pro" w:hAnsi="Myriad Pro"/>
          <w:bCs/>
          <w:sz w:val="18"/>
          <w:lang w:val="bs-Latn-BA"/>
        </w:rPr>
        <w:t xml:space="preserve">(**) PPVI je </w:t>
      </w:r>
      <w:r>
        <w:rPr>
          <w:rFonts w:ascii="Myriad Pro" w:hAnsi="Myriad Pro"/>
          <w:bCs/>
          <w:sz w:val="18"/>
          <w:lang w:val="bs-Latn-BA"/>
        </w:rPr>
        <w:t xml:space="preserve">preporučena </w:t>
      </w:r>
      <w:r w:rsidRPr="00F16EDC">
        <w:rPr>
          <w:rFonts w:ascii="Myriad Pro" w:hAnsi="Myriad Pro"/>
          <w:bCs/>
          <w:sz w:val="18"/>
          <w:lang w:val="bs-Latn-BA"/>
        </w:rPr>
        <w:t>procedura za planiranje, praćenje, vrednovanje i izvještavanje o godišnjem radu JLS</w:t>
      </w:r>
      <w:r>
        <w:rPr>
          <w:rFonts w:ascii="Myriad Pro" w:hAnsi="Myriad Pro"/>
          <w:bCs/>
          <w:sz w:val="18"/>
          <w:lang w:val="bs-Latn-BA"/>
        </w:rPr>
        <w:t xml:space="preserve"> (koju su uspostavile pojedine JLS u BiH te ostaju na raspolaganju za usvajanje svim ostalim JLS).</w:t>
      </w:r>
    </w:p>
    <w:p w14:paraId="447AEC7E" w14:textId="77777777" w:rsidR="004F4EE7" w:rsidRDefault="004F4EE7" w:rsidP="004F4EE7">
      <w:pPr>
        <w:spacing w:after="60"/>
        <w:rPr>
          <w:rFonts w:ascii="Myriad Pro" w:hAnsi="Myriad Pro"/>
          <w:bCs/>
          <w:sz w:val="18"/>
          <w:lang w:val="bs-Latn-BA"/>
        </w:rPr>
      </w:pPr>
      <w:r>
        <w:rPr>
          <w:rFonts w:ascii="Myriad Pro" w:hAnsi="Myriad Pro"/>
          <w:bCs/>
          <w:sz w:val="18"/>
          <w:lang w:val="bs-Latn-BA"/>
        </w:rPr>
        <w:t>(***) JURA je jedinica za upravljanje razvojem. U pregled se ne unosi tačan naziv JURA-e nego se u legendi navodi konkretni mehanizam za upravljanje razvojem</w:t>
      </w:r>
      <w:r w:rsidRPr="00E9242C">
        <w:rPr>
          <w:rFonts w:ascii="Myriad Pro" w:hAnsi="Myriad Pro"/>
          <w:bCs/>
          <w:sz w:val="18"/>
          <w:lang w:val="bs-Latn-BA"/>
        </w:rPr>
        <w:t xml:space="preserve"> </w:t>
      </w:r>
      <w:r>
        <w:rPr>
          <w:rFonts w:ascii="Myriad Pro" w:hAnsi="Myriad Pro"/>
          <w:bCs/>
          <w:sz w:val="18"/>
          <w:lang w:val="bs-Latn-BA"/>
        </w:rPr>
        <w:t>date JLS. Tamo gdje nije uspostavljena JURA, ulogu preuzima Razvojni tim ili RT pri čemu se se JURA briše iz odgovornosti.</w:t>
      </w:r>
    </w:p>
    <w:p w14:paraId="3ACF8720" w14:textId="77777777" w:rsidR="004F4EE7" w:rsidRDefault="004F4EE7" w:rsidP="004F4EE7">
      <w:pPr>
        <w:rPr>
          <w:rFonts w:ascii="Myriad Pro" w:hAnsi="Myriad Pro"/>
          <w:b/>
          <w:bCs/>
          <w:lang w:val="bs-Latn-BA"/>
        </w:rPr>
      </w:pPr>
    </w:p>
    <w:p w14:paraId="467F98F0" w14:textId="0B1382B5" w:rsidR="004F4EE7" w:rsidRDefault="004F4EE7" w:rsidP="004F4EE7">
      <w:pPr>
        <w:rPr>
          <w:rFonts w:ascii="Myriad Pro" w:hAnsi="Myriad Pro"/>
          <w:b/>
          <w:bCs/>
          <w:lang w:val="bs-Latn-BA"/>
        </w:rPr>
      </w:pPr>
    </w:p>
    <w:p w14:paraId="068A0FEE" w14:textId="71E8C1AD" w:rsidR="00081ECF" w:rsidRDefault="00081ECF" w:rsidP="004F4EE7">
      <w:pPr>
        <w:rPr>
          <w:rFonts w:ascii="Myriad Pro" w:hAnsi="Myriad Pro"/>
          <w:b/>
          <w:bCs/>
          <w:lang w:val="bs-Latn-BA"/>
        </w:rPr>
      </w:pPr>
    </w:p>
    <w:p w14:paraId="095B1093" w14:textId="6F33640D" w:rsidR="00081ECF" w:rsidRDefault="00081ECF" w:rsidP="004F4EE7">
      <w:pPr>
        <w:rPr>
          <w:rFonts w:ascii="Myriad Pro" w:hAnsi="Myriad Pro"/>
          <w:b/>
          <w:bCs/>
          <w:lang w:val="bs-Latn-BA"/>
        </w:rPr>
      </w:pPr>
    </w:p>
    <w:p w14:paraId="219244E7" w14:textId="77777777" w:rsidR="00081ECF" w:rsidRDefault="00081ECF" w:rsidP="004F4EE7">
      <w:pPr>
        <w:rPr>
          <w:rFonts w:ascii="Myriad Pro" w:hAnsi="Myriad Pro"/>
          <w:b/>
          <w:bCs/>
          <w:lang w:val="bs-Latn-BA"/>
        </w:rPr>
      </w:pPr>
    </w:p>
    <w:p w14:paraId="281AFF83" w14:textId="77777777" w:rsidR="004F4EE7" w:rsidRPr="00D33DD0" w:rsidRDefault="004F4EE7" w:rsidP="00F67084">
      <w:pPr>
        <w:pStyle w:val="Heading1"/>
        <w:rPr>
          <w:lang w:val="bs-Latn-BA"/>
        </w:rPr>
      </w:pPr>
      <w:bookmarkStart w:id="60" w:name="_Toc488761257"/>
      <w:bookmarkStart w:id="61" w:name="_Toc496413397"/>
      <w:r w:rsidRPr="00D33DD0">
        <w:rPr>
          <w:lang w:val="bs-Latn-BA"/>
        </w:rPr>
        <w:lastRenderedPageBreak/>
        <w:t>VII. Prilozi</w:t>
      </w:r>
      <w:bookmarkEnd w:id="60"/>
      <w:bookmarkEnd w:id="61"/>
    </w:p>
    <w:p w14:paraId="2EC913A4" w14:textId="77777777" w:rsidR="004F4EE7" w:rsidRDefault="004F4EE7" w:rsidP="004F4EE7">
      <w:pPr>
        <w:rPr>
          <w:rFonts w:ascii="Myriad Pro" w:hAnsi="Myriad Pro"/>
          <w:b/>
          <w:bCs/>
          <w:lang w:val="bs-Latn-BA"/>
        </w:rPr>
      </w:pPr>
    </w:p>
    <w:p w14:paraId="73034641" w14:textId="3C776009" w:rsidR="004F4EE7" w:rsidRPr="00E71154" w:rsidRDefault="004F4EE7" w:rsidP="004F4EE7">
      <w:pPr>
        <w:pStyle w:val="Heading2"/>
        <w:rPr>
          <w:color w:val="FF0000"/>
        </w:rPr>
      </w:pPr>
      <w:bookmarkStart w:id="62" w:name="_Toc488761258"/>
      <w:bookmarkStart w:id="63" w:name="_Toc496413398"/>
      <w:r>
        <w:t xml:space="preserve">Prilog 1: </w:t>
      </w:r>
      <w:r w:rsidRPr="00E71154">
        <w:t>Integrirani pregled revidirane strategije</w:t>
      </w:r>
      <w:r>
        <w:t xml:space="preserve"> </w:t>
      </w:r>
      <w:bookmarkEnd w:id="62"/>
      <w:bookmarkEnd w:id="63"/>
      <w:r w:rsidR="00803AF7" w:rsidRPr="00D23213">
        <w:t>2018 - 2020.</w:t>
      </w:r>
    </w:p>
    <w:p w14:paraId="5FAB16FC" w14:textId="77777777" w:rsidR="004F4EE7" w:rsidRDefault="004F4EE7" w:rsidP="004F4EE7">
      <w:pPr>
        <w:rPr>
          <w:rFonts w:ascii="Myriad Pro" w:hAnsi="Myriad Pro"/>
          <w:b/>
          <w:bCs/>
          <w:lang w:val="bs-Latn-BA"/>
        </w:rPr>
      </w:pPr>
    </w:p>
    <w:tbl>
      <w:tblPr>
        <w:tblW w:w="13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
        <w:gridCol w:w="3757"/>
        <w:gridCol w:w="1620"/>
        <w:gridCol w:w="1350"/>
        <w:gridCol w:w="1890"/>
        <w:gridCol w:w="1170"/>
        <w:gridCol w:w="720"/>
        <w:gridCol w:w="1710"/>
        <w:gridCol w:w="16"/>
      </w:tblGrid>
      <w:tr w:rsidR="004F4EE7" w:rsidRPr="00D23213" w14:paraId="63A330DF" w14:textId="77777777" w:rsidTr="000B6E58">
        <w:trPr>
          <w:gridAfter w:val="1"/>
          <w:wAfter w:w="16" w:type="dxa"/>
          <w:trHeight w:val="451"/>
          <w:jc w:val="center"/>
        </w:trPr>
        <w:tc>
          <w:tcPr>
            <w:tcW w:w="1754" w:type="dxa"/>
            <w:vMerge w:val="restart"/>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419DA6A0" w14:textId="77777777" w:rsidR="004F4EE7" w:rsidRPr="00D23213" w:rsidRDefault="004F4EE7" w:rsidP="000B6E58">
            <w:pPr>
              <w:spacing w:before="20"/>
              <w:jc w:val="cente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 xml:space="preserve">Veza sa strateškim i sektorskim ciljem i programom </w:t>
            </w:r>
          </w:p>
        </w:tc>
        <w:tc>
          <w:tcPr>
            <w:tcW w:w="3757" w:type="dxa"/>
            <w:vMerge w:val="restart"/>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580E233D" w14:textId="77777777" w:rsidR="004F4EE7" w:rsidRPr="00D23213" w:rsidRDefault="004F4EE7" w:rsidP="000B6E58">
            <w:pPr>
              <w:spacing w:before="120"/>
              <w:jc w:val="cente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Projekat /mjera</w:t>
            </w:r>
          </w:p>
        </w:tc>
        <w:tc>
          <w:tcPr>
            <w:tcW w:w="2970" w:type="dxa"/>
            <w:gridSpan w:val="2"/>
            <w:vMerge w:val="restart"/>
            <w:tcBorders>
              <w:top w:val="single" w:sz="4" w:space="0" w:color="000000"/>
              <w:left w:val="single" w:sz="4" w:space="0" w:color="000000"/>
              <w:right w:val="single" w:sz="4" w:space="0" w:color="000000"/>
            </w:tcBorders>
            <w:shd w:val="clear" w:color="auto" w:fill="95B3D7"/>
            <w:vAlign w:val="center"/>
            <w:hideMark/>
          </w:tcPr>
          <w:p w14:paraId="316AB034" w14:textId="77777777" w:rsidR="004F4EE7" w:rsidRPr="00D23213" w:rsidRDefault="004F4EE7" w:rsidP="000B6E58">
            <w:pPr>
              <w:spacing w:before="120"/>
              <w:jc w:val="cente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Ukupni očekivani ishod projekta/mjere</w:t>
            </w:r>
          </w:p>
        </w:tc>
        <w:tc>
          <w:tcPr>
            <w:tcW w:w="5490" w:type="dxa"/>
            <w:gridSpan w:val="4"/>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64F69AF2" w14:textId="77777777" w:rsidR="004F4EE7" w:rsidRPr="00D23213" w:rsidRDefault="004F4EE7" w:rsidP="000B6E58">
            <w:pPr>
              <w:spacing w:before="60"/>
              <w:jc w:val="cente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Izvori finansiranja</w:t>
            </w:r>
          </w:p>
        </w:tc>
      </w:tr>
      <w:tr w:rsidR="004F4EE7" w:rsidRPr="00D23213" w14:paraId="3ABD9740" w14:textId="77777777" w:rsidTr="000B6E58">
        <w:trPr>
          <w:trHeight w:val="213"/>
          <w:jc w:val="center"/>
        </w:trPr>
        <w:tc>
          <w:tcPr>
            <w:tcW w:w="1754" w:type="dxa"/>
            <w:vMerge/>
            <w:tcBorders>
              <w:top w:val="single" w:sz="4" w:space="0" w:color="000000"/>
              <w:left w:val="single" w:sz="4" w:space="0" w:color="000000"/>
              <w:bottom w:val="single" w:sz="4" w:space="0" w:color="000000"/>
              <w:right w:val="single" w:sz="4" w:space="0" w:color="000000"/>
            </w:tcBorders>
            <w:vAlign w:val="center"/>
            <w:hideMark/>
          </w:tcPr>
          <w:p w14:paraId="0696B7A0" w14:textId="77777777" w:rsidR="004F4EE7" w:rsidRPr="00D23213" w:rsidRDefault="004F4EE7" w:rsidP="000B6E58">
            <w:pPr>
              <w:rPr>
                <w:rFonts w:asciiTheme="minorHAnsi" w:hAnsiTheme="minorHAnsi" w:cstheme="minorHAnsi"/>
                <w:b/>
                <w:noProof/>
                <w:sz w:val="20"/>
                <w:szCs w:val="20"/>
                <w:lang w:val="bs-Latn-BA"/>
              </w:rPr>
            </w:pPr>
          </w:p>
        </w:tc>
        <w:tc>
          <w:tcPr>
            <w:tcW w:w="3757" w:type="dxa"/>
            <w:vMerge/>
            <w:tcBorders>
              <w:top w:val="single" w:sz="4" w:space="0" w:color="000000"/>
              <w:left w:val="single" w:sz="4" w:space="0" w:color="000000"/>
              <w:bottom w:val="single" w:sz="4" w:space="0" w:color="000000"/>
              <w:right w:val="single" w:sz="4" w:space="0" w:color="000000"/>
            </w:tcBorders>
            <w:vAlign w:val="center"/>
            <w:hideMark/>
          </w:tcPr>
          <w:p w14:paraId="5F0F3C15" w14:textId="77777777" w:rsidR="004F4EE7" w:rsidRPr="00D23213" w:rsidRDefault="004F4EE7" w:rsidP="000B6E58">
            <w:pPr>
              <w:rPr>
                <w:rFonts w:asciiTheme="minorHAnsi" w:hAnsiTheme="minorHAnsi" w:cstheme="minorHAnsi"/>
                <w:b/>
                <w:noProof/>
                <w:sz w:val="20"/>
                <w:szCs w:val="20"/>
                <w:lang w:val="bs-Latn-BA"/>
              </w:rPr>
            </w:pPr>
          </w:p>
        </w:tc>
        <w:tc>
          <w:tcPr>
            <w:tcW w:w="2970" w:type="dxa"/>
            <w:gridSpan w:val="2"/>
            <w:vMerge/>
            <w:tcBorders>
              <w:left w:val="single" w:sz="4" w:space="0" w:color="000000"/>
              <w:right w:val="single" w:sz="4" w:space="0" w:color="000000"/>
            </w:tcBorders>
            <w:vAlign w:val="center"/>
            <w:hideMark/>
          </w:tcPr>
          <w:p w14:paraId="6680CBFE" w14:textId="77777777" w:rsidR="004F4EE7" w:rsidRPr="00D23213" w:rsidRDefault="004F4EE7" w:rsidP="000B6E58">
            <w:pPr>
              <w:rPr>
                <w:rFonts w:asciiTheme="minorHAnsi" w:hAnsiTheme="minorHAnsi" w:cstheme="minorHAnsi"/>
                <w:b/>
                <w:noProof/>
                <w:sz w:val="20"/>
                <w:szCs w:val="20"/>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61EAB5B" w14:textId="77777777" w:rsidR="004F4EE7" w:rsidRPr="00D23213" w:rsidRDefault="004F4EE7" w:rsidP="000B6E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Budžet</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1A0CB55" w14:textId="77777777" w:rsidR="004F4EE7" w:rsidRPr="00D23213" w:rsidRDefault="004F4EE7" w:rsidP="000B6E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Eksterni izvori</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60A5265D" w14:textId="77777777" w:rsidR="004F4EE7" w:rsidRPr="00D23213" w:rsidRDefault="004F4EE7" w:rsidP="000B6E58">
            <w:pPr>
              <w:spacing w:before="120"/>
              <w:jc w:val="cente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Ukupno</w:t>
            </w:r>
          </w:p>
        </w:tc>
      </w:tr>
      <w:tr w:rsidR="004F4EE7" w:rsidRPr="00D23213" w14:paraId="02B8A0B7" w14:textId="77777777" w:rsidTr="000B6E58">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14:paraId="16604772" w14:textId="77777777" w:rsidR="004F4EE7" w:rsidRPr="00D23213" w:rsidRDefault="004F4EE7" w:rsidP="000B6E58">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1.Strateški cilj</w:t>
            </w:r>
          </w:p>
        </w:tc>
        <w:tc>
          <w:tcPr>
            <w:tcW w:w="12233" w:type="dxa"/>
            <w:gridSpan w:val="8"/>
            <w:tcBorders>
              <w:top w:val="single" w:sz="4" w:space="0" w:color="000000"/>
              <w:left w:val="single" w:sz="4" w:space="0" w:color="000000"/>
              <w:right w:val="single" w:sz="4" w:space="0" w:color="000000"/>
            </w:tcBorders>
            <w:vAlign w:val="center"/>
          </w:tcPr>
          <w:p w14:paraId="06A1A80D" w14:textId="2E453A9D" w:rsidR="004F4EE7" w:rsidRPr="00D23213" w:rsidRDefault="00711D66" w:rsidP="000B6E58">
            <w:pPr>
              <w:spacing w:before="120"/>
              <w:jc w:val="center"/>
              <w:rPr>
                <w:rFonts w:asciiTheme="minorHAnsi" w:hAnsiTheme="minorHAnsi" w:cstheme="minorHAnsi"/>
                <w:b/>
                <w:noProof/>
                <w:color w:val="FF0000"/>
                <w:sz w:val="20"/>
                <w:szCs w:val="20"/>
                <w:lang w:val="bs-Latn-BA"/>
              </w:rPr>
            </w:pPr>
            <w:r w:rsidRPr="00D23213">
              <w:rPr>
                <w:rFonts w:asciiTheme="minorHAnsi" w:hAnsiTheme="minorHAnsi" w:cstheme="minorHAnsi"/>
                <w:b/>
                <w:bCs/>
                <w:noProof/>
                <w:sz w:val="20"/>
                <w:szCs w:val="20"/>
              </w:rPr>
              <w:t>Unapređena konkurentnost i tržišna orijentacija lokalne privrede sa kreiranjem novih radnih mjesta</w:t>
            </w:r>
          </w:p>
        </w:tc>
      </w:tr>
      <w:tr w:rsidR="004F4EE7" w:rsidRPr="00D23213" w14:paraId="0A81556D" w14:textId="77777777" w:rsidTr="000B6E58">
        <w:trPr>
          <w:trHeight w:val="787"/>
          <w:jc w:val="center"/>
        </w:trPr>
        <w:tc>
          <w:tcPr>
            <w:tcW w:w="1754" w:type="dxa"/>
            <w:tcBorders>
              <w:left w:val="single" w:sz="4" w:space="0" w:color="000000"/>
              <w:right w:val="single" w:sz="4" w:space="0" w:color="000000"/>
            </w:tcBorders>
            <w:shd w:val="clear" w:color="auto" w:fill="8EAADB"/>
            <w:vAlign w:val="center"/>
          </w:tcPr>
          <w:p w14:paraId="7FFA4379" w14:textId="77777777" w:rsidR="004F4EE7" w:rsidRPr="00D23213" w:rsidRDefault="004F4EE7" w:rsidP="009901CE">
            <w:pPr>
              <w:numPr>
                <w:ilvl w:val="1"/>
                <w:numId w:val="25"/>
              </w:num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Sektorski cilj</w:t>
            </w:r>
          </w:p>
        </w:tc>
        <w:tc>
          <w:tcPr>
            <w:tcW w:w="3757" w:type="dxa"/>
            <w:tcBorders>
              <w:left w:val="single" w:sz="4" w:space="0" w:color="000000"/>
              <w:right w:val="single" w:sz="4" w:space="0" w:color="000000"/>
            </w:tcBorders>
            <w:vAlign w:val="center"/>
          </w:tcPr>
          <w:p w14:paraId="3EFB859A" w14:textId="721F3D94" w:rsidR="004F4EE7" w:rsidRPr="00D23213" w:rsidRDefault="00803AF7" w:rsidP="000B6E58">
            <w:pPr>
              <w:rPr>
                <w:rFonts w:asciiTheme="minorHAnsi" w:hAnsiTheme="minorHAnsi" w:cstheme="minorHAnsi"/>
                <w:b/>
                <w:noProof/>
                <w:color w:val="FF0000"/>
                <w:sz w:val="20"/>
                <w:szCs w:val="20"/>
                <w:lang w:val="bs-Latn-BA"/>
              </w:rPr>
            </w:pPr>
            <w:r w:rsidRPr="00D23213">
              <w:rPr>
                <w:rFonts w:asciiTheme="minorHAnsi" w:hAnsiTheme="minorHAnsi" w:cstheme="minorHAnsi"/>
                <w:b/>
                <w:bCs/>
                <w:sz w:val="20"/>
                <w:szCs w:val="20"/>
              </w:rPr>
              <w:t>Poboljšani uslovi poslovanja unapređenjem infrastrukture i kvaliteta radne snage do 2020. godine</w:t>
            </w:r>
          </w:p>
        </w:tc>
        <w:tc>
          <w:tcPr>
            <w:tcW w:w="1620" w:type="dxa"/>
            <w:tcBorders>
              <w:left w:val="single" w:sz="4" w:space="0" w:color="000000"/>
              <w:right w:val="single" w:sz="4" w:space="0" w:color="000000"/>
            </w:tcBorders>
            <w:shd w:val="clear" w:color="auto" w:fill="8EAADB"/>
            <w:vAlign w:val="center"/>
          </w:tcPr>
          <w:p w14:paraId="52412D1A" w14:textId="77777777" w:rsidR="004F4EE7" w:rsidRPr="00D23213" w:rsidRDefault="004F4EE7" w:rsidP="000B6E58">
            <w:pPr>
              <w:spacing w:before="40"/>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14:paraId="15827A5D" w14:textId="77777777" w:rsidR="00803AF7" w:rsidRPr="00D23213" w:rsidRDefault="00803AF7" w:rsidP="00803AF7">
            <w:pPr>
              <w:numPr>
                <w:ilvl w:val="0"/>
                <w:numId w:val="27"/>
              </w:numPr>
              <w:tabs>
                <w:tab w:val="clear" w:pos="720"/>
              </w:tabs>
              <w:ind w:left="269" w:hanging="269"/>
              <w:jc w:val="both"/>
              <w:rPr>
                <w:rFonts w:asciiTheme="minorHAnsi" w:hAnsiTheme="minorHAnsi" w:cstheme="minorHAnsi"/>
                <w:noProof/>
                <w:sz w:val="20"/>
                <w:szCs w:val="20"/>
                <w:lang w:val="hr-HR"/>
              </w:rPr>
            </w:pPr>
            <w:r w:rsidRPr="00D23213">
              <w:rPr>
                <w:rFonts w:asciiTheme="minorHAnsi" w:hAnsiTheme="minorHAnsi" w:cstheme="minorHAnsi"/>
                <w:noProof/>
                <w:sz w:val="20"/>
                <w:szCs w:val="20"/>
                <w:lang w:val="hr-HR"/>
              </w:rPr>
              <w:t>Najmanje 5 novih investicija do 2020. godine, od toga najmanje jedna ostvarena kroz saradnju sa dijasporom</w:t>
            </w:r>
          </w:p>
          <w:p w14:paraId="499CF3D6" w14:textId="77777777" w:rsidR="00803AF7" w:rsidRPr="00D23213" w:rsidRDefault="00803AF7" w:rsidP="00803AF7">
            <w:pPr>
              <w:numPr>
                <w:ilvl w:val="0"/>
                <w:numId w:val="27"/>
              </w:numPr>
              <w:tabs>
                <w:tab w:val="clear" w:pos="720"/>
              </w:tabs>
              <w:ind w:left="269" w:hanging="269"/>
              <w:jc w:val="both"/>
              <w:rPr>
                <w:rFonts w:asciiTheme="minorHAnsi" w:hAnsiTheme="minorHAnsi" w:cstheme="minorHAnsi"/>
                <w:noProof/>
                <w:sz w:val="20"/>
                <w:szCs w:val="20"/>
                <w:lang w:val="hr-HR"/>
              </w:rPr>
            </w:pPr>
            <w:r w:rsidRPr="00D23213">
              <w:rPr>
                <w:rFonts w:asciiTheme="minorHAnsi" w:hAnsiTheme="minorHAnsi" w:cstheme="minorHAnsi"/>
                <w:noProof/>
                <w:sz w:val="20"/>
                <w:szCs w:val="20"/>
                <w:lang w:val="hr-HR"/>
              </w:rPr>
              <w:t>Broj privrednih subjekata povećan za 5% do 2020. godine u odnosu na 2017. godinu</w:t>
            </w:r>
          </w:p>
          <w:p w14:paraId="25433F79" w14:textId="77777777" w:rsidR="00803AF7" w:rsidRPr="00D23213" w:rsidRDefault="00803AF7" w:rsidP="00803AF7">
            <w:pPr>
              <w:numPr>
                <w:ilvl w:val="0"/>
                <w:numId w:val="27"/>
              </w:numPr>
              <w:tabs>
                <w:tab w:val="clear" w:pos="720"/>
              </w:tabs>
              <w:ind w:left="269" w:hanging="269"/>
              <w:jc w:val="both"/>
              <w:rPr>
                <w:rFonts w:asciiTheme="minorHAnsi" w:hAnsiTheme="minorHAnsi" w:cstheme="minorHAnsi"/>
                <w:sz w:val="20"/>
                <w:szCs w:val="20"/>
                <w:lang w:val="sr-Cyrl-BA"/>
              </w:rPr>
            </w:pPr>
            <w:r w:rsidRPr="00D23213">
              <w:rPr>
                <w:rFonts w:asciiTheme="minorHAnsi" w:hAnsiTheme="minorHAnsi" w:cstheme="minorHAnsi"/>
                <w:noProof/>
                <w:sz w:val="20"/>
                <w:szCs w:val="20"/>
                <w:lang w:val="sr-Cyrl-CS"/>
              </w:rPr>
              <w:t>Najmanje 50% polaznika praktičnih obuka i prekvalifikacije zaposleno u roku od godinu dana po završetku programa</w:t>
            </w:r>
            <w:r w:rsidRPr="00D23213">
              <w:rPr>
                <w:rFonts w:asciiTheme="minorHAnsi" w:hAnsiTheme="minorHAnsi" w:cstheme="minorHAnsi"/>
                <w:noProof/>
                <w:sz w:val="20"/>
                <w:szCs w:val="20"/>
              </w:rPr>
              <w:t xml:space="preserve"> </w:t>
            </w:r>
          </w:p>
          <w:p w14:paraId="10B228EF" w14:textId="77777777" w:rsidR="00803AF7" w:rsidRPr="00D23213" w:rsidRDefault="00803AF7" w:rsidP="00803AF7">
            <w:pPr>
              <w:numPr>
                <w:ilvl w:val="0"/>
                <w:numId w:val="27"/>
              </w:numPr>
              <w:tabs>
                <w:tab w:val="clear" w:pos="720"/>
              </w:tabs>
              <w:ind w:left="269" w:hanging="269"/>
              <w:jc w:val="both"/>
              <w:rPr>
                <w:rFonts w:asciiTheme="minorHAnsi" w:hAnsiTheme="minorHAnsi" w:cstheme="minorHAnsi"/>
                <w:noProof/>
                <w:color w:val="FF0000"/>
                <w:sz w:val="20"/>
                <w:szCs w:val="20"/>
                <w:lang w:val="bs-Latn-BA"/>
              </w:rPr>
            </w:pPr>
            <w:r w:rsidRPr="00D23213">
              <w:rPr>
                <w:rFonts w:asciiTheme="minorHAnsi" w:hAnsiTheme="minorHAnsi" w:cstheme="minorHAnsi"/>
                <w:noProof/>
                <w:sz w:val="20"/>
                <w:szCs w:val="20"/>
              </w:rPr>
              <w:t xml:space="preserve">Najmanje 5 preduzeća unaprijedilo kvalitet radne snage do 2020. godine </w:t>
            </w:r>
            <w:r w:rsidRPr="00D23213">
              <w:rPr>
                <w:rFonts w:asciiTheme="minorHAnsi" w:hAnsiTheme="minorHAnsi" w:cstheme="minorHAnsi"/>
                <w:noProof/>
                <w:sz w:val="20"/>
                <w:szCs w:val="20"/>
                <w:lang w:val="hr-HR"/>
              </w:rPr>
              <w:t>u odnosu na 2017. godinu</w:t>
            </w:r>
          </w:p>
          <w:p w14:paraId="32769F7F" w14:textId="1EBB40D0" w:rsidR="004F4EE7" w:rsidRPr="00D23213" w:rsidRDefault="00803AF7" w:rsidP="00803AF7">
            <w:pPr>
              <w:numPr>
                <w:ilvl w:val="0"/>
                <w:numId w:val="27"/>
              </w:numPr>
              <w:tabs>
                <w:tab w:val="clear" w:pos="720"/>
              </w:tabs>
              <w:ind w:left="269" w:hanging="269"/>
              <w:jc w:val="both"/>
              <w:rPr>
                <w:rFonts w:asciiTheme="minorHAnsi" w:hAnsiTheme="minorHAnsi" w:cstheme="minorHAnsi"/>
                <w:noProof/>
                <w:color w:val="FF0000"/>
                <w:sz w:val="20"/>
                <w:szCs w:val="20"/>
                <w:lang w:val="bs-Latn-BA"/>
              </w:rPr>
            </w:pPr>
            <w:r w:rsidRPr="00D23213">
              <w:rPr>
                <w:rFonts w:asciiTheme="minorHAnsi" w:hAnsiTheme="minorHAnsi" w:cstheme="minorHAnsi"/>
                <w:sz w:val="20"/>
                <w:szCs w:val="20"/>
                <w:lang w:val="sr-Cyrl-BA"/>
              </w:rPr>
              <w:t>Najmanje 3 preduzeća povećalo stepen korištenja obnovljivih izvora energije i najmanje 5 preduzeća unaprijedilo energetsku efikasnost do 2020. u odnosu na 2017. godinu</w:t>
            </w:r>
          </w:p>
        </w:tc>
        <w:tc>
          <w:tcPr>
            <w:tcW w:w="1170" w:type="dxa"/>
            <w:tcBorders>
              <w:top w:val="single" w:sz="4" w:space="0" w:color="000000"/>
              <w:left w:val="single" w:sz="4" w:space="0" w:color="000000"/>
              <w:right w:val="single" w:sz="4" w:space="0" w:color="000000"/>
            </w:tcBorders>
            <w:shd w:val="clear" w:color="auto" w:fill="8EAADB"/>
            <w:vAlign w:val="center"/>
          </w:tcPr>
          <w:p w14:paraId="0BD18DAD" w14:textId="77777777" w:rsidR="004F4EE7" w:rsidRPr="00D23213" w:rsidRDefault="004F4EE7" w:rsidP="000B6E58">
            <w:pPr>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vAlign w:val="center"/>
          </w:tcPr>
          <w:p w14:paraId="48A13707" w14:textId="77777777" w:rsidR="00803AF7" w:rsidRPr="00D23213" w:rsidRDefault="00803AF7" w:rsidP="00803AF7">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Broj novih investicija i broj investicija ostvarenih kroz saradnju sa dijasporom</w:t>
            </w:r>
          </w:p>
          <w:p w14:paraId="6BC8DB50" w14:textId="77777777" w:rsidR="00803AF7" w:rsidRPr="00D23213" w:rsidRDefault="00803AF7" w:rsidP="00803AF7">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Broj privrednih subjekata</w:t>
            </w:r>
          </w:p>
          <w:p w14:paraId="13927FC1" w14:textId="77777777" w:rsidR="00803AF7" w:rsidRPr="00D23213" w:rsidRDefault="00803AF7" w:rsidP="00803AF7">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 xml:space="preserve">Broj zaposlenih polaznika praktičnih obuka i prekvalifikacije </w:t>
            </w:r>
          </w:p>
          <w:p w14:paraId="763BD3F8" w14:textId="77777777" w:rsidR="00803AF7" w:rsidRPr="00D23213" w:rsidRDefault="00803AF7" w:rsidP="00803AF7">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Broj preduzeća koja su unaprijedila kvalitet radne snage</w:t>
            </w:r>
          </w:p>
          <w:p w14:paraId="6537032A" w14:textId="703FCE85" w:rsidR="004F4EE7" w:rsidRPr="00D23213" w:rsidRDefault="00803AF7" w:rsidP="00803AF7">
            <w:pPr>
              <w:numPr>
                <w:ilvl w:val="0"/>
                <w:numId w:val="27"/>
              </w:numPr>
              <w:tabs>
                <w:tab w:val="clear" w:pos="720"/>
              </w:tabs>
              <w:ind w:left="269" w:hanging="269"/>
              <w:jc w:val="both"/>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sr-Cyrl-CS"/>
              </w:rPr>
              <w:t>Broj preduzeća koja koriste obnovljive izvore energije i preduzeća koja su unaprijedila energetsku efikasnost</w:t>
            </w:r>
          </w:p>
        </w:tc>
      </w:tr>
      <w:tr w:rsidR="00F04B11" w:rsidRPr="00D23213" w14:paraId="79191DE4" w14:textId="77777777" w:rsidTr="000B6E58">
        <w:trPr>
          <w:trHeight w:val="213"/>
          <w:jc w:val="center"/>
        </w:trPr>
        <w:tc>
          <w:tcPr>
            <w:tcW w:w="1754" w:type="dxa"/>
            <w:vMerge w:val="restart"/>
            <w:tcBorders>
              <w:left w:val="single" w:sz="4" w:space="0" w:color="000000"/>
              <w:right w:val="single" w:sz="4" w:space="0" w:color="000000"/>
            </w:tcBorders>
            <w:shd w:val="clear" w:color="auto" w:fill="DEEAF6"/>
            <w:vAlign w:val="center"/>
          </w:tcPr>
          <w:p w14:paraId="1EB6FC82" w14:textId="77777777" w:rsidR="00F04B11" w:rsidRPr="00D23213" w:rsidRDefault="00F04B11" w:rsidP="000B6E58">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1.1.1.Program</w:t>
            </w:r>
          </w:p>
        </w:tc>
        <w:tc>
          <w:tcPr>
            <w:tcW w:w="12233" w:type="dxa"/>
            <w:gridSpan w:val="8"/>
            <w:tcBorders>
              <w:left w:val="single" w:sz="4" w:space="0" w:color="000000"/>
              <w:right w:val="single" w:sz="4" w:space="0" w:color="000000"/>
            </w:tcBorders>
            <w:vAlign w:val="center"/>
          </w:tcPr>
          <w:p w14:paraId="6D01CCC2" w14:textId="1605D023" w:rsidR="00F04B11" w:rsidRPr="00D23213" w:rsidRDefault="00F04B11" w:rsidP="000B6E58">
            <w:pPr>
              <w:spacing w:before="120"/>
              <w:jc w:val="center"/>
              <w:rPr>
                <w:rFonts w:asciiTheme="minorHAnsi" w:hAnsiTheme="minorHAnsi" w:cstheme="minorHAnsi"/>
                <w:b/>
                <w:noProof/>
                <w:color w:val="FF0000"/>
                <w:sz w:val="20"/>
                <w:szCs w:val="20"/>
                <w:lang w:val="bs-Latn-BA"/>
              </w:rPr>
            </w:pPr>
            <w:r w:rsidRPr="00D23213">
              <w:rPr>
                <w:rFonts w:asciiTheme="minorHAnsi" w:hAnsiTheme="minorHAnsi" w:cstheme="minorHAnsi"/>
                <w:b/>
                <w:bCs/>
                <w:color w:val="000000"/>
                <w:sz w:val="20"/>
                <w:szCs w:val="20"/>
              </w:rPr>
              <w:t>Unapređenje poslovnog okruženja i privlačenje investicija</w:t>
            </w:r>
          </w:p>
        </w:tc>
      </w:tr>
      <w:tr w:rsidR="00F04B11" w:rsidRPr="00D23213" w14:paraId="592C67F7" w14:textId="77777777" w:rsidTr="000B6E58">
        <w:trPr>
          <w:trHeight w:val="213"/>
          <w:jc w:val="center"/>
        </w:trPr>
        <w:tc>
          <w:tcPr>
            <w:tcW w:w="1754" w:type="dxa"/>
            <w:vMerge/>
            <w:tcBorders>
              <w:left w:val="single" w:sz="4" w:space="0" w:color="000000"/>
              <w:right w:val="single" w:sz="4" w:space="0" w:color="000000"/>
            </w:tcBorders>
            <w:shd w:val="clear" w:color="auto" w:fill="DEEAF6"/>
            <w:vAlign w:val="center"/>
          </w:tcPr>
          <w:p w14:paraId="539CB7ED" w14:textId="77777777" w:rsidR="00F04B11" w:rsidRPr="00D23213" w:rsidRDefault="00F04B11" w:rsidP="000B6E58">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3E48E1EE" w14:textId="26B0E235" w:rsidR="00F04B11" w:rsidRPr="00D23213" w:rsidRDefault="00F04B11" w:rsidP="000B6E58">
            <w:pP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 xml:space="preserve">1.1.1.1.Projekat </w:t>
            </w:r>
            <w:r w:rsidRPr="00D23213">
              <w:rPr>
                <w:rFonts w:asciiTheme="minorHAnsi" w:hAnsiTheme="minorHAnsi" w:cstheme="minorHAnsi"/>
                <w:color w:val="000000"/>
                <w:sz w:val="20"/>
                <w:szCs w:val="20"/>
                <w:lang w:val="en-US"/>
              </w:rPr>
              <w:t>I</w:t>
            </w:r>
            <w:r w:rsidRPr="00D23213">
              <w:rPr>
                <w:rFonts w:asciiTheme="minorHAnsi" w:hAnsiTheme="minorHAnsi" w:cstheme="minorHAnsi"/>
                <w:color w:val="000000"/>
                <w:sz w:val="20"/>
                <w:szCs w:val="20"/>
              </w:rPr>
              <w:t>zgradnja infrastrukture u Poslovnoj zoni Vijaka</w:t>
            </w:r>
          </w:p>
        </w:tc>
        <w:tc>
          <w:tcPr>
            <w:tcW w:w="2970" w:type="dxa"/>
            <w:gridSpan w:val="2"/>
            <w:tcBorders>
              <w:left w:val="single" w:sz="4" w:space="0" w:color="000000"/>
              <w:right w:val="single" w:sz="4" w:space="0" w:color="000000"/>
            </w:tcBorders>
            <w:vAlign w:val="center"/>
          </w:tcPr>
          <w:p w14:paraId="0D103158" w14:textId="2AF6B638" w:rsidR="00F04B11" w:rsidRPr="00D23213" w:rsidRDefault="00F04B11" w:rsidP="00803AF7">
            <w:pPr>
              <w:spacing w:after="120"/>
              <w:rPr>
                <w:rFonts w:asciiTheme="minorHAnsi" w:hAnsiTheme="minorHAnsi" w:cstheme="minorHAnsi"/>
                <w:sz w:val="20"/>
                <w:szCs w:val="20"/>
              </w:rPr>
            </w:pPr>
            <w:r w:rsidRPr="00D23213">
              <w:rPr>
                <w:rFonts w:asciiTheme="minorHAnsi" w:hAnsiTheme="minorHAnsi" w:cstheme="minorHAnsi"/>
                <w:sz w:val="20"/>
                <w:szCs w:val="20"/>
              </w:rPr>
              <w:t>Uspostavljen kontakt sa najmanje X potencijalnih investitora u poslovnu zonu do 2020.</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41B431" w14:textId="70A05215" w:rsidR="00F04B11" w:rsidRPr="00D23213" w:rsidRDefault="005248BA" w:rsidP="000B6E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2,070,000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0AA909F" w14:textId="5179D7B4" w:rsidR="00F04B11" w:rsidRPr="00D23213" w:rsidRDefault="005248BA" w:rsidP="000B6E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7A7AEEE9" w14:textId="044528EF" w:rsidR="00F04B11" w:rsidRPr="00D23213" w:rsidRDefault="005248BA" w:rsidP="000B6E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2,070,000</w:t>
            </w:r>
          </w:p>
        </w:tc>
      </w:tr>
      <w:tr w:rsidR="00F04B11" w:rsidRPr="00D23213" w14:paraId="5AF1C236" w14:textId="77777777" w:rsidTr="000B6E58">
        <w:trPr>
          <w:trHeight w:val="213"/>
          <w:jc w:val="center"/>
        </w:trPr>
        <w:tc>
          <w:tcPr>
            <w:tcW w:w="1754" w:type="dxa"/>
            <w:vMerge/>
            <w:tcBorders>
              <w:left w:val="single" w:sz="4" w:space="0" w:color="000000"/>
              <w:right w:val="single" w:sz="4" w:space="0" w:color="000000"/>
            </w:tcBorders>
            <w:shd w:val="clear" w:color="auto" w:fill="DEEAF6"/>
            <w:vAlign w:val="center"/>
          </w:tcPr>
          <w:p w14:paraId="179D4A5F" w14:textId="77777777" w:rsidR="00F04B11" w:rsidRPr="00D23213" w:rsidRDefault="00F04B11" w:rsidP="000B6E58">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083AD79C" w14:textId="7F251200" w:rsidR="00F04B11" w:rsidRPr="00D23213" w:rsidRDefault="00F04B11" w:rsidP="000B6E58">
            <w:pP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 xml:space="preserve">1.1.1.2.Projekat </w:t>
            </w:r>
            <w:r w:rsidRPr="00D23213">
              <w:rPr>
                <w:rFonts w:asciiTheme="minorHAnsi" w:hAnsiTheme="minorHAnsi" w:cstheme="minorHAnsi"/>
                <w:color w:val="000000"/>
                <w:sz w:val="20"/>
                <w:szCs w:val="20"/>
              </w:rPr>
              <w:t>Privredna saradnja sa dijasporom</w:t>
            </w:r>
          </w:p>
        </w:tc>
        <w:tc>
          <w:tcPr>
            <w:tcW w:w="2970" w:type="dxa"/>
            <w:gridSpan w:val="2"/>
            <w:tcBorders>
              <w:left w:val="single" w:sz="4" w:space="0" w:color="000000"/>
              <w:right w:val="single" w:sz="4" w:space="0" w:color="000000"/>
            </w:tcBorders>
            <w:vAlign w:val="center"/>
          </w:tcPr>
          <w:p w14:paraId="123B952E" w14:textId="77777777" w:rsidR="00F04B11" w:rsidRPr="00D23213" w:rsidRDefault="00F04B11" w:rsidP="00803AF7">
            <w:pPr>
              <w:spacing w:after="120"/>
              <w:rPr>
                <w:rFonts w:asciiTheme="minorHAnsi" w:hAnsiTheme="minorHAnsi" w:cstheme="minorHAnsi"/>
                <w:sz w:val="20"/>
                <w:szCs w:val="20"/>
              </w:rPr>
            </w:pPr>
            <w:r w:rsidRPr="00D23213">
              <w:rPr>
                <w:rFonts w:asciiTheme="minorHAnsi" w:hAnsiTheme="minorHAnsi" w:cstheme="minorHAnsi"/>
                <w:sz w:val="20"/>
                <w:szCs w:val="20"/>
              </w:rPr>
              <w:t>Najmanje X preduzetnika iz dijaspore izrazilo interesovanje za investicije</w:t>
            </w:r>
          </w:p>
          <w:p w14:paraId="546E3EE2" w14:textId="12D6C21B" w:rsidR="00F04B11" w:rsidRPr="00D23213" w:rsidRDefault="00F04B11" w:rsidP="00803AF7">
            <w:pPr>
              <w:rPr>
                <w:rFonts w:asciiTheme="minorHAnsi" w:hAnsiTheme="minorHAnsi" w:cstheme="minorHAnsi"/>
                <w:b/>
                <w:noProof/>
                <w:sz w:val="20"/>
                <w:szCs w:val="20"/>
                <w:lang w:val="bs-Latn-BA"/>
              </w:rPr>
            </w:pPr>
            <w:r w:rsidRPr="00D23213">
              <w:rPr>
                <w:rFonts w:asciiTheme="minorHAnsi" w:hAnsiTheme="minorHAnsi" w:cstheme="minorHAnsi"/>
                <w:sz w:val="20"/>
                <w:szCs w:val="20"/>
              </w:rPr>
              <w:t>Najmanje X inicijativa za investicije pokrenuto u saradnji</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6F3B52" w14:textId="4A54F9C5" w:rsidR="00F04B11" w:rsidRPr="00D23213" w:rsidRDefault="005248BA" w:rsidP="000B6E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A437CBF" w14:textId="38FECB31" w:rsidR="00F04B11" w:rsidRPr="00D23213" w:rsidRDefault="005248BA" w:rsidP="000B6E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6A15A1EC" w14:textId="21C5DB5D" w:rsidR="00F04B11" w:rsidRPr="00D23213" w:rsidRDefault="005248BA" w:rsidP="000B6E58">
            <w:pPr>
              <w:spacing w:before="120"/>
              <w:jc w:val="cente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0</w:t>
            </w:r>
          </w:p>
        </w:tc>
      </w:tr>
      <w:tr w:rsidR="00F04B11" w:rsidRPr="00D23213" w14:paraId="18224A79" w14:textId="77777777" w:rsidTr="000B6E58">
        <w:trPr>
          <w:trHeight w:val="213"/>
          <w:jc w:val="center"/>
        </w:trPr>
        <w:tc>
          <w:tcPr>
            <w:tcW w:w="1754" w:type="dxa"/>
            <w:vMerge/>
            <w:tcBorders>
              <w:left w:val="single" w:sz="4" w:space="0" w:color="000000"/>
              <w:right w:val="single" w:sz="4" w:space="0" w:color="000000"/>
            </w:tcBorders>
            <w:shd w:val="clear" w:color="auto" w:fill="DEEAF6"/>
            <w:vAlign w:val="center"/>
          </w:tcPr>
          <w:p w14:paraId="07B4658A" w14:textId="77777777" w:rsidR="00F04B11" w:rsidRPr="00D23213" w:rsidRDefault="00F04B11" w:rsidP="000B6E58">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2EA82365" w14:textId="38E7EBCC" w:rsidR="00F04B11" w:rsidRPr="00D23213" w:rsidRDefault="00F04B11" w:rsidP="000B6E58">
            <w:pP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bs-Latn-BA"/>
              </w:rPr>
              <w:t xml:space="preserve">1.1.1.3.Projekat </w:t>
            </w:r>
            <w:r w:rsidRPr="00D23213">
              <w:rPr>
                <w:rFonts w:asciiTheme="minorHAnsi" w:hAnsiTheme="minorHAnsi" w:cstheme="minorHAnsi"/>
                <w:color w:val="000000"/>
                <w:sz w:val="20"/>
                <w:szCs w:val="20"/>
              </w:rPr>
              <w:t>Promocija Prnjavora kao investicione destinacije</w:t>
            </w:r>
          </w:p>
        </w:tc>
        <w:tc>
          <w:tcPr>
            <w:tcW w:w="2970" w:type="dxa"/>
            <w:gridSpan w:val="2"/>
            <w:tcBorders>
              <w:left w:val="single" w:sz="4" w:space="0" w:color="000000"/>
              <w:right w:val="single" w:sz="4" w:space="0" w:color="000000"/>
            </w:tcBorders>
            <w:vAlign w:val="center"/>
          </w:tcPr>
          <w:p w14:paraId="03629F61" w14:textId="13274DB1" w:rsidR="00F04B11" w:rsidRPr="00D23213" w:rsidRDefault="00F04B11" w:rsidP="00803AF7">
            <w:pPr>
              <w:spacing w:after="120"/>
              <w:rPr>
                <w:rFonts w:asciiTheme="minorHAnsi" w:hAnsiTheme="minorHAnsi" w:cstheme="minorHAnsi"/>
                <w:sz w:val="20"/>
                <w:szCs w:val="20"/>
              </w:rPr>
            </w:pPr>
            <w:r w:rsidRPr="00D23213">
              <w:rPr>
                <w:rFonts w:asciiTheme="minorHAnsi" w:hAnsiTheme="minorHAnsi" w:cstheme="minorHAnsi"/>
                <w:sz w:val="20"/>
                <w:szCs w:val="20"/>
              </w:rPr>
              <w:t>Uspostavljen kontakt sa / pružena informativna podrška za najmanje X potencijalnih investitora do 2020.</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88FCDD" w14:textId="06C37CEA" w:rsidR="00F04B11" w:rsidRPr="00D23213" w:rsidRDefault="005248BA" w:rsidP="000B6E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250,000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759A612" w14:textId="149BD655" w:rsidR="00F04B11" w:rsidRPr="00D23213" w:rsidRDefault="005248BA" w:rsidP="000B6E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6544B6B6" w14:textId="1F8D9DD7" w:rsidR="00F04B11" w:rsidRPr="00D23213" w:rsidRDefault="005248BA" w:rsidP="000B6E58">
            <w:pPr>
              <w:spacing w:before="120"/>
              <w:jc w:val="cente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bs-Latn-BA"/>
              </w:rPr>
              <w:t>250,000</w:t>
            </w:r>
          </w:p>
        </w:tc>
      </w:tr>
      <w:tr w:rsidR="00F04B11" w:rsidRPr="00D23213" w14:paraId="5308A818" w14:textId="77777777" w:rsidTr="000B6E58">
        <w:trPr>
          <w:trHeight w:val="213"/>
          <w:jc w:val="center"/>
        </w:trPr>
        <w:tc>
          <w:tcPr>
            <w:tcW w:w="1754" w:type="dxa"/>
            <w:vMerge/>
            <w:tcBorders>
              <w:left w:val="single" w:sz="4" w:space="0" w:color="000000"/>
              <w:right w:val="single" w:sz="4" w:space="0" w:color="000000"/>
            </w:tcBorders>
            <w:shd w:val="clear" w:color="auto" w:fill="DEEAF6"/>
            <w:vAlign w:val="center"/>
          </w:tcPr>
          <w:p w14:paraId="768FBC13" w14:textId="77777777" w:rsidR="00F04B11" w:rsidRPr="00D23213" w:rsidRDefault="00F04B11" w:rsidP="000B6E58">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032F26FB" w14:textId="4C32C0BF" w:rsidR="00F04B11" w:rsidRPr="00D23213" w:rsidRDefault="00F04B11" w:rsidP="000B6E58">
            <w:pP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bs-Latn-BA"/>
              </w:rPr>
              <w:t xml:space="preserve">1.1.1.4. Projekat </w:t>
            </w:r>
            <w:r w:rsidRPr="00D23213">
              <w:rPr>
                <w:rFonts w:asciiTheme="minorHAnsi" w:hAnsiTheme="minorHAnsi" w:cstheme="minorHAnsi"/>
                <w:color w:val="000000"/>
                <w:sz w:val="20"/>
                <w:szCs w:val="20"/>
              </w:rPr>
              <w:t>Usklađivanje ponude i tražnje na tržištu rada</w:t>
            </w:r>
          </w:p>
        </w:tc>
        <w:tc>
          <w:tcPr>
            <w:tcW w:w="2970" w:type="dxa"/>
            <w:gridSpan w:val="2"/>
            <w:tcBorders>
              <w:left w:val="single" w:sz="4" w:space="0" w:color="000000"/>
              <w:right w:val="single" w:sz="4" w:space="0" w:color="000000"/>
            </w:tcBorders>
            <w:vAlign w:val="center"/>
          </w:tcPr>
          <w:p w14:paraId="42F72B3F" w14:textId="7ABB1095" w:rsidR="00F04B11" w:rsidRPr="00D23213" w:rsidRDefault="00F04B11" w:rsidP="00175DBA">
            <w:pPr>
              <w:spacing w:after="120"/>
              <w:rPr>
                <w:rFonts w:asciiTheme="minorHAnsi" w:hAnsiTheme="minorHAnsi" w:cstheme="minorHAnsi"/>
                <w:noProof/>
                <w:sz w:val="20"/>
                <w:szCs w:val="20"/>
              </w:rPr>
            </w:pPr>
            <w:r w:rsidRPr="00D23213">
              <w:rPr>
                <w:rFonts w:asciiTheme="minorHAnsi" w:hAnsiTheme="minorHAnsi" w:cstheme="minorHAnsi"/>
                <w:noProof/>
                <w:sz w:val="20"/>
                <w:szCs w:val="20"/>
              </w:rPr>
              <w:t>Najmanje 150 polaznika obuka za traženje posla i 75 za rad u industriji</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42F558" w14:textId="16B6A02E" w:rsidR="00F04B11" w:rsidRPr="00D23213" w:rsidRDefault="005248BA" w:rsidP="000B6E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435,813</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6CAF933" w14:textId="7A020E4E" w:rsidR="00F04B11" w:rsidRPr="00D23213" w:rsidRDefault="005248BA" w:rsidP="000B6E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13C6F744" w14:textId="15F8848F" w:rsidR="00F04B11" w:rsidRPr="00D23213" w:rsidRDefault="005248BA" w:rsidP="000B6E58">
            <w:pPr>
              <w:spacing w:before="120"/>
              <w:jc w:val="cente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bs-Latn-BA"/>
              </w:rPr>
              <w:t>435,813</w:t>
            </w:r>
          </w:p>
        </w:tc>
      </w:tr>
      <w:tr w:rsidR="00F04B11" w:rsidRPr="00D23213" w14:paraId="2C0DD008" w14:textId="77777777" w:rsidTr="000B6E58">
        <w:trPr>
          <w:trHeight w:val="213"/>
          <w:jc w:val="center"/>
        </w:trPr>
        <w:tc>
          <w:tcPr>
            <w:tcW w:w="1754" w:type="dxa"/>
            <w:vMerge/>
            <w:tcBorders>
              <w:left w:val="single" w:sz="4" w:space="0" w:color="000000"/>
              <w:right w:val="single" w:sz="4" w:space="0" w:color="000000"/>
            </w:tcBorders>
            <w:shd w:val="clear" w:color="auto" w:fill="DEEAF6"/>
            <w:vAlign w:val="center"/>
          </w:tcPr>
          <w:p w14:paraId="0E2589FF" w14:textId="77777777" w:rsidR="00F04B11" w:rsidRPr="00D23213" w:rsidRDefault="00F04B11" w:rsidP="000B6E58">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512BB6FB" w14:textId="737E7CEB" w:rsidR="00F04B11" w:rsidRPr="00D23213" w:rsidRDefault="00F04B11" w:rsidP="000B6E58">
            <w:pP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 xml:space="preserve">1.1.1.5. Projekat </w:t>
            </w:r>
            <w:r w:rsidRPr="00D23213">
              <w:rPr>
                <w:rFonts w:asciiTheme="minorHAnsi" w:hAnsiTheme="minorHAnsi" w:cstheme="minorHAnsi"/>
                <w:color w:val="000000"/>
                <w:sz w:val="20"/>
                <w:szCs w:val="20"/>
              </w:rPr>
              <w:t>Izgradnja kapaciteta za pružanje podrške/usluga privredi</w:t>
            </w:r>
          </w:p>
        </w:tc>
        <w:tc>
          <w:tcPr>
            <w:tcW w:w="2970" w:type="dxa"/>
            <w:gridSpan w:val="2"/>
            <w:tcBorders>
              <w:left w:val="single" w:sz="4" w:space="0" w:color="000000"/>
              <w:right w:val="single" w:sz="4" w:space="0" w:color="000000"/>
            </w:tcBorders>
            <w:vAlign w:val="center"/>
          </w:tcPr>
          <w:p w14:paraId="15178FA1" w14:textId="20C96ED5" w:rsidR="00F04B11" w:rsidRPr="00D23213" w:rsidRDefault="00F04B11" w:rsidP="000B6E58">
            <w:pPr>
              <w:rPr>
                <w:rFonts w:asciiTheme="minorHAnsi" w:hAnsiTheme="minorHAnsi" w:cstheme="minorHAnsi"/>
                <w:b/>
                <w:noProof/>
                <w:sz w:val="20"/>
                <w:szCs w:val="20"/>
                <w:lang w:val="bs-Latn-BA"/>
              </w:rPr>
            </w:pPr>
            <w:r w:rsidRPr="00D23213">
              <w:rPr>
                <w:rFonts w:asciiTheme="minorHAnsi" w:hAnsiTheme="minorHAnsi" w:cstheme="minorHAnsi"/>
                <w:noProof/>
                <w:sz w:val="20"/>
                <w:szCs w:val="20"/>
              </w:rPr>
              <w:t>Najmanje X korisnika usluga godišnje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EDE22A" w14:textId="1EFE3897" w:rsidR="00F04B11" w:rsidRPr="00D23213" w:rsidRDefault="005248BA" w:rsidP="000B6E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50,000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80A3476" w14:textId="19CDA990" w:rsidR="00F04B11" w:rsidRPr="00D23213" w:rsidRDefault="005248BA" w:rsidP="000B6E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5A8B461E" w14:textId="11DB69C3" w:rsidR="00F04B11" w:rsidRPr="00D23213" w:rsidRDefault="005248BA" w:rsidP="000B6E58">
            <w:pPr>
              <w:spacing w:before="120"/>
              <w:jc w:val="cente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bs-Latn-BA"/>
              </w:rPr>
              <w:t>50,000</w:t>
            </w:r>
          </w:p>
        </w:tc>
      </w:tr>
      <w:tr w:rsidR="00F04B11" w:rsidRPr="00D23213" w14:paraId="25A6FCF9" w14:textId="77777777" w:rsidTr="000B6E58">
        <w:trPr>
          <w:trHeight w:val="213"/>
          <w:jc w:val="center"/>
        </w:trPr>
        <w:tc>
          <w:tcPr>
            <w:tcW w:w="1754" w:type="dxa"/>
            <w:vMerge/>
            <w:tcBorders>
              <w:left w:val="single" w:sz="4" w:space="0" w:color="000000"/>
              <w:right w:val="single" w:sz="4" w:space="0" w:color="000000"/>
            </w:tcBorders>
            <w:shd w:val="clear" w:color="auto" w:fill="DEEAF6"/>
            <w:vAlign w:val="center"/>
          </w:tcPr>
          <w:p w14:paraId="2BFA3048" w14:textId="77777777" w:rsidR="00F04B11" w:rsidRPr="00D23213" w:rsidRDefault="00F04B11" w:rsidP="000B6E58">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381AF726" w14:textId="01343D9E" w:rsidR="00F04B11" w:rsidRPr="00D23213" w:rsidRDefault="00F04B11" w:rsidP="000B6E58">
            <w:pPr>
              <w:rPr>
                <w:rFonts w:asciiTheme="minorHAnsi" w:hAnsiTheme="minorHAnsi" w:cstheme="minorHAnsi"/>
                <w:noProof/>
                <w:sz w:val="20"/>
                <w:szCs w:val="20"/>
                <w:lang w:val="bs-Latn-BA"/>
              </w:rPr>
            </w:pPr>
            <w:r w:rsidRPr="00D23213">
              <w:rPr>
                <w:rFonts w:asciiTheme="minorHAnsi" w:hAnsiTheme="minorHAnsi" w:cstheme="minorHAnsi"/>
                <w:color w:val="000000"/>
                <w:sz w:val="20"/>
                <w:szCs w:val="20"/>
              </w:rPr>
              <w:t>1.1.1.6. Projekat Promocija obnovljive energije i energetske efikasnosti u privredi</w:t>
            </w:r>
          </w:p>
        </w:tc>
        <w:tc>
          <w:tcPr>
            <w:tcW w:w="2970" w:type="dxa"/>
            <w:gridSpan w:val="2"/>
            <w:tcBorders>
              <w:left w:val="single" w:sz="4" w:space="0" w:color="000000"/>
              <w:right w:val="single" w:sz="4" w:space="0" w:color="000000"/>
            </w:tcBorders>
            <w:vAlign w:val="center"/>
          </w:tcPr>
          <w:p w14:paraId="7D884118" w14:textId="19E6B6F5" w:rsidR="00F04B11" w:rsidRPr="00D23213" w:rsidRDefault="00F04B11" w:rsidP="000B6E58">
            <w:pPr>
              <w:rPr>
                <w:rFonts w:asciiTheme="minorHAnsi" w:hAnsiTheme="minorHAnsi" w:cstheme="minorHAnsi"/>
                <w:noProof/>
                <w:sz w:val="20"/>
                <w:szCs w:val="20"/>
              </w:rPr>
            </w:pPr>
            <w:r w:rsidRPr="00D23213">
              <w:rPr>
                <w:rFonts w:asciiTheme="minorHAnsi" w:hAnsiTheme="minorHAnsi" w:cstheme="minorHAnsi"/>
                <w:noProof/>
                <w:sz w:val="20"/>
                <w:szCs w:val="20"/>
              </w:rPr>
              <w:t>Najmanje X korisnika informativne i savjetodavne podrške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36432E" w14:textId="29752972" w:rsidR="00F04B11" w:rsidRPr="00D23213" w:rsidRDefault="005248BA" w:rsidP="000B6E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FBC3985" w14:textId="31823AE4" w:rsidR="00F04B11" w:rsidRPr="00D23213" w:rsidRDefault="005248BA" w:rsidP="000B6E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20,000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42F755E5" w14:textId="4D421262" w:rsidR="00F04B11" w:rsidRPr="00D23213" w:rsidRDefault="005248BA" w:rsidP="000B6E58">
            <w:pPr>
              <w:spacing w:before="120"/>
              <w:jc w:val="cente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bs-Latn-BA"/>
              </w:rPr>
              <w:t>20,000</w:t>
            </w:r>
          </w:p>
        </w:tc>
      </w:tr>
      <w:tr w:rsidR="00F04B11" w:rsidRPr="00D23213" w14:paraId="0AA14103" w14:textId="77777777" w:rsidTr="00B838EC">
        <w:trPr>
          <w:trHeight w:val="787"/>
          <w:jc w:val="center"/>
        </w:trPr>
        <w:tc>
          <w:tcPr>
            <w:tcW w:w="1754" w:type="dxa"/>
            <w:tcBorders>
              <w:left w:val="single" w:sz="4" w:space="0" w:color="000000"/>
              <w:right w:val="single" w:sz="4" w:space="0" w:color="000000"/>
            </w:tcBorders>
            <w:shd w:val="clear" w:color="auto" w:fill="8EAADB"/>
            <w:vAlign w:val="center"/>
          </w:tcPr>
          <w:p w14:paraId="4051592D" w14:textId="77777777" w:rsidR="00F04B11" w:rsidRPr="00D23213" w:rsidRDefault="00F04B11" w:rsidP="00B838EC">
            <w:pPr>
              <w:numPr>
                <w:ilvl w:val="1"/>
                <w:numId w:val="25"/>
              </w:num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Sektorski cilj</w:t>
            </w:r>
          </w:p>
        </w:tc>
        <w:tc>
          <w:tcPr>
            <w:tcW w:w="3757" w:type="dxa"/>
            <w:tcBorders>
              <w:left w:val="single" w:sz="4" w:space="0" w:color="000000"/>
              <w:right w:val="single" w:sz="4" w:space="0" w:color="000000"/>
            </w:tcBorders>
            <w:vAlign w:val="center"/>
          </w:tcPr>
          <w:p w14:paraId="0BD6D9A2" w14:textId="40415900" w:rsidR="00F04B11" w:rsidRPr="00D23213" w:rsidRDefault="00F04B11" w:rsidP="00B838EC">
            <w:pPr>
              <w:rPr>
                <w:rFonts w:asciiTheme="minorHAnsi" w:hAnsiTheme="minorHAnsi" w:cstheme="minorHAnsi"/>
                <w:b/>
                <w:noProof/>
                <w:color w:val="FF0000"/>
                <w:sz w:val="20"/>
                <w:szCs w:val="20"/>
                <w:lang w:val="bs-Latn-BA"/>
              </w:rPr>
            </w:pPr>
            <w:r w:rsidRPr="00D23213">
              <w:rPr>
                <w:rFonts w:asciiTheme="minorHAnsi" w:hAnsiTheme="minorHAnsi" w:cstheme="minorHAnsi"/>
                <w:b/>
                <w:bCs/>
                <w:sz w:val="20"/>
                <w:szCs w:val="20"/>
              </w:rPr>
              <w:t>Unapređeni kapaciteti u poljoprivrednoj proizvodnji do 2020. godine</w:t>
            </w:r>
          </w:p>
        </w:tc>
        <w:tc>
          <w:tcPr>
            <w:tcW w:w="1620" w:type="dxa"/>
            <w:tcBorders>
              <w:left w:val="single" w:sz="4" w:space="0" w:color="000000"/>
              <w:right w:val="single" w:sz="4" w:space="0" w:color="000000"/>
            </w:tcBorders>
            <w:shd w:val="clear" w:color="auto" w:fill="8EAADB"/>
            <w:vAlign w:val="center"/>
          </w:tcPr>
          <w:p w14:paraId="4C67DDDD" w14:textId="77777777" w:rsidR="00F04B11" w:rsidRPr="00D23213" w:rsidRDefault="00F04B11" w:rsidP="00B838EC">
            <w:pPr>
              <w:spacing w:before="40"/>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14:paraId="40F70CC0" w14:textId="77777777" w:rsidR="00F04B11" w:rsidRPr="00D23213" w:rsidRDefault="00F04B11" w:rsidP="00F04B11">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Otvoreno 15 novih radnih mjesta u poljoprivredi do kraja 2020. godine</w:t>
            </w:r>
          </w:p>
          <w:p w14:paraId="60B0F31F" w14:textId="77777777" w:rsidR="00F04B11" w:rsidRPr="00D23213" w:rsidRDefault="00F04B11" w:rsidP="00F04B11">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 xml:space="preserve">Najmanje 50% poljoprivrednih proizvoda proizvedenih na području Opštine Prnjavor se plasira na tržište do 2020. godine </w:t>
            </w:r>
          </w:p>
          <w:p w14:paraId="7F6BD023" w14:textId="77777777" w:rsidR="00F04B11" w:rsidRPr="00D23213" w:rsidRDefault="00F04B11" w:rsidP="00F04B11">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Do 2020. godini povećan  nivo poljoprivredne proizvodnje (obrađene površine, broj stabala, stočni fond) za najmanje 10% u odnosu na 2017. godinu</w:t>
            </w:r>
          </w:p>
          <w:p w14:paraId="724F499E" w14:textId="661CD3C9" w:rsidR="00F04B11" w:rsidRPr="00D23213" w:rsidRDefault="00F04B11" w:rsidP="00F04B11">
            <w:pPr>
              <w:numPr>
                <w:ilvl w:val="0"/>
                <w:numId w:val="27"/>
              </w:numPr>
              <w:tabs>
                <w:tab w:val="clear" w:pos="720"/>
              </w:tabs>
              <w:ind w:left="269" w:hanging="269"/>
              <w:jc w:val="both"/>
              <w:rPr>
                <w:rFonts w:asciiTheme="minorHAnsi" w:hAnsiTheme="minorHAnsi" w:cstheme="minorHAnsi"/>
                <w:noProof/>
                <w:color w:val="FF0000"/>
                <w:sz w:val="20"/>
                <w:szCs w:val="20"/>
                <w:lang w:val="bs-Latn-BA"/>
              </w:rPr>
            </w:pPr>
            <w:r w:rsidRPr="00D23213">
              <w:rPr>
                <w:rFonts w:asciiTheme="minorHAnsi" w:hAnsiTheme="minorHAnsi" w:cstheme="minorHAnsi"/>
                <w:noProof/>
                <w:sz w:val="20"/>
                <w:szCs w:val="20"/>
                <w:lang w:val="sr-Cyrl-CS"/>
              </w:rPr>
              <w:t>Rast prihoda registrovanih poljoprivrednih gazdinstava od najmanje 5% do 2020. godine u odnosu na 2017. godinu</w:t>
            </w:r>
          </w:p>
        </w:tc>
        <w:tc>
          <w:tcPr>
            <w:tcW w:w="1170" w:type="dxa"/>
            <w:tcBorders>
              <w:top w:val="single" w:sz="4" w:space="0" w:color="000000"/>
              <w:left w:val="single" w:sz="4" w:space="0" w:color="000000"/>
              <w:right w:val="single" w:sz="4" w:space="0" w:color="000000"/>
            </w:tcBorders>
            <w:shd w:val="clear" w:color="auto" w:fill="8EAADB"/>
            <w:vAlign w:val="center"/>
          </w:tcPr>
          <w:p w14:paraId="66C82569" w14:textId="77777777" w:rsidR="00F04B11" w:rsidRPr="00D23213" w:rsidRDefault="00F04B11" w:rsidP="00B838EC">
            <w:pPr>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vAlign w:val="center"/>
          </w:tcPr>
          <w:p w14:paraId="19D50CE4" w14:textId="77777777" w:rsidR="00F04B11" w:rsidRPr="00D23213" w:rsidRDefault="00F04B11" w:rsidP="00F04B11">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Broj novih radnih mjesta u poljoprivredi</w:t>
            </w:r>
          </w:p>
          <w:p w14:paraId="1D5C50A3" w14:textId="77777777" w:rsidR="00F04B11" w:rsidRPr="00D23213" w:rsidRDefault="00F04B11" w:rsidP="00F04B11">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Količina poljoprivrednih proizvoda proizvedenih na području Opštine Prnjavor koja se plasira na tržište</w:t>
            </w:r>
          </w:p>
          <w:p w14:paraId="798E2D77" w14:textId="77777777" w:rsidR="00F04B11" w:rsidRPr="00D23213" w:rsidRDefault="00F04B11" w:rsidP="00F04B11">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Količine poljoprivredne proizvodnje (obrađene površine, broj stabala, stočni fond)</w:t>
            </w:r>
          </w:p>
          <w:p w14:paraId="48DABD69" w14:textId="5E732D88" w:rsidR="00F04B11" w:rsidRPr="00D23213" w:rsidRDefault="00F04B11" w:rsidP="00F04B11">
            <w:pPr>
              <w:numPr>
                <w:ilvl w:val="0"/>
                <w:numId w:val="27"/>
              </w:numPr>
              <w:tabs>
                <w:tab w:val="clear" w:pos="720"/>
              </w:tabs>
              <w:ind w:left="269" w:hanging="269"/>
              <w:jc w:val="both"/>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sr-Cyrl-CS"/>
              </w:rPr>
              <w:t>Prihod registrovanih poljoprivrednih</w:t>
            </w:r>
            <w:r w:rsidRPr="00D23213">
              <w:rPr>
                <w:rFonts w:asciiTheme="minorHAnsi" w:hAnsiTheme="minorHAnsi" w:cstheme="minorHAnsi"/>
                <w:noProof/>
                <w:sz w:val="20"/>
                <w:szCs w:val="20"/>
                <w:lang w:val="hr-HR"/>
              </w:rPr>
              <w:t xml:space="preserve"> gazdinstava</w:t>
            </w:r>
          </w:p>
        </w:tc>
      </w:tr>
      <w:tr w:rsidR="00F04B11" w:rsidRPr="00D23213" w14:paraId="38739E6F" w14:textId="77777777" w:rsidTr="00B838EC">
        <w:trPr>
          <w:trHeight w:val="213"/>
          <w:jc w:val="center"/>
        </w:trPr>
        <w:tc>
          <w:tcPr>
            <w:tcW w:w="1754" w:type="dxa"/>
            <w:vMerge w:val="restart"/>
            <w:tcBorders>
              <w:left w:val="single" w:sz="4" w:space="0" w:color="000000"/>
              <w:right w:val="single" w:sz="4" w:space="0" w:color="000000"/>
            </w:tcBorders>
            <w:shd w:val="clear" w:color="auto" w:fill="DEEAF6"/>
            <w:vAlign w:val="center"/>
          </w:tcPr>
          <w:p w14:paraId="28F2824C" w14:textId="56221871" w:rsidR="00F04B11" w:rsidRPr="00D23213" w:rsidRDefault="00F04B11" w:rsidP="00F04B11">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lastRenderedPageBreak/>
              <w:t>1.2.1.Program</w:t>
            </w:r>
          </w:p>
        </w:tc>
        <w:tc>
          <w:tcPr>
            <w:tcW w:w="12233" w:type="dxa"/>
            <w:gridSpan w:val="8"/>
            <w:tcBorders>
              <w:left w:val="single" w:sz="4" w:space="0" w:color="000000"/>
              <w:right w:val="single" w:sz="4" w:space="0" w:color="000000"/>
            </w:tcBorders>
          </w:tcPr>
          <w:p w14:paraId="7A7D6AB5" w14:textId="7D21BF4A" w:rsidR="00F04B11" w:rsidRPr="00D23213" w:rsidRDefault="00F04B11" w:rsidP="00F04B11">
            <w:pPr>
              <w:spacing w:before="120"/>
              <w:jc w:val="center"/>
              <w:rPr>
                <w:rFonts w:asciiTheme="minorHAnsi" w:hAnsiTheme="minorHAnsi" w:cstheme="minorHAnsi"/>
                <w:b/>
                <w:noProof/>
                <w:sz w:val="20"/>
                <w:szCs w:val="20"/>
                <w:lang w:val="bs-Latn-BA"/>
              </w:rPr>
            </w:pPr>
            <w:r w:rsidRPr="00D23213">
              <w:rPr>
                <w:rFonts w:asciiTheme="minorHAnsi" w:hAnsiTheme="minorHAnsi" w:cstheme="minorHAnsi"/>
                <w:b/>
                <w:sz w:val="20"/>
                <w:szCs w:val="20"/>
              </w:rPr>
              <w:t xml:space="preserve">Unapređenje sistema podrške </w:t>
            </w:r>
            <w:r w:rsidRPr="00D23213">
              <w:rPr>
                <w:rFonts w:asciiTheme="minorHAnsi" w:hAnsiTheme="minorHAnsi" w:cstheme="minorHAnsi"/>
                <w:b/>
                <w:sz w:val="20"/>
                <w:szCs w:val="20"/>
                <w:lang w:val="sr-Cyrl-BA"/>
              </w:rPr>
              <w:t>poljoprivrednoj proizvodnji</w:t>
            </w:r>
          </w:p>
        </w:tc>
      </w:tr>
      <w:tr w:rsidR="00F04B11" w:rsidRPr="00D23213" w14:paraId="1A06521F" w14:textId="77777777" w:rsidTr="000B6E58">
        <w:trPr>
          <w:trHeight w:val="213"/>
          <w:jc w:val="center"/>
        </w:trPr>
        <w:tc>
          <w:tcPr>
            <w:tcW w:w="1754" w:type="dxa"/>
            <w:vMerge/>
            <w:tcBorders>
              <w:left w:val="single" w:sz="4" w:space="0" w:color="000000"/>
              <w:right w:val="single" w:sz="4" w:space="0" w:color="000000"/>
            </w:tcBorders>
            <w:shd w:val="clear" w:color="auto" w:fill="DEEAF6"/>
            <w:vAlign w:val="center"/>
          </w:tcPr>
          <w:p w14:paraId="4691EBC1" w14:textId="77777777" w:rsidR="00F04B11" w:rsidRPr="00D23213" w:rsidRDefault="00F04B11" w:rsidP="00F04B11">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670E2660" w14:textId="1844200E" w:rsidR="00F04B11" w:rsidRPr="00D23213" w:rsidRDefault="00F04B11" w:rsidP="00F04B11">
            <w:pPr>
              <w:rPr>
                <w:rFonts w:asciiTheme="minorHAnsi" w:hAnsiTheme="minorHAnsi" w:cstheme="minorHAnsi"/>
                <w:noProof/>
                <w:sz w:val="20"/>
                <w:szCs w:val="20"/>
                <w:lang w:val="bs-Latn-BA"/>
              </w:rPr>
            </w:pPr>
            <w:r w:rsidRPr="00D23213">
              <w:rPr>
                <w:rFonts w:asciiTheme="minorHAnsi" w:hAnsiTheme="minorHAnsi" w:cstheme="minorHAnsi"/>
                <w:sz w:val="20"/>
                <w:szCs w:val="20"/>
              </w:rPr>
              <w:t>1.2.1.1. Mjera: Podsticaji za poljoprivredne proizvođače</w:t>
            </w:r>
          </w:p>
        </w:tc>
        <w:tc>
          <w:tcPr>
            <w:tcW w:w="2970" w:type="dxa"/>
            <w:gridSpan w:val="2"/>
            <w:tcBorders>
              <w:left w:val="single" w:sz="4" w:space="0" w:color="000000"/>
              <w:right w:val="single" w:sz="4" w:space="0" w:color="000000"/>
            </w:tcBorders>
            <w:vAlign w:val="center"/>
          </w:tcPr>
          <w:p w14:paraId="24E313DB" w14:textId="4A247260" w:rsidR="00F04B11" w:rsidRPr="00D23213" w:rsidRDefault="00F04B11" w:rsidP="00F04B11">
            <w:pPr>
              <w:rPr>
                <w:rFonts w:asciiTheme="minorHAnsi" w:hAnsiTheme="minorHAnsi" w:cstheme="minorHAnsi"/>
                <w:b/>
                <w:noProof/>
                <w:sz w:val="20"/>
                <w:szCs w:val="20"/>
                <w:lang w:val="bs-Latn-BA"/>
              </w:rPr>
            </w:pPr>
            <w:r w:rsidRPr="00D23213">
              <w:rPr>
                <w:rFonts w:asciiTheme="minorHAnsi" w:hAnsiTheme="minorHAnsi" w:cstheme="minorHAnsi"/>
                <w:sz w:val="20"/>
                <w:szCs w:val="20"/>
              </w:rPr>
              <w:t xml:space="preserve">Podržano najmanje 25 </w:t>
            </w:r>
            <w:r w:rsidRPr="00D23213">
              <w:rPr>
                <w:rFonts w:asciiTheme="minorHAnsi" w:hAnsiTheme="minorHAnsi" w:cstheme="minorHAnsi"/>
                <w:bCs/>
                <w:noProof/>
                <w:sz w:val="20"/>
                <w:szCs w:val="20"/>
                <w:lang w:val="hr-HR"/>
              </w:rPr>
              <w:t>primarnih proizvođača i najmanje 5 subjekata u prerađivačkoj industriji poljoprivrednih proizvoda godišnje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7D9060" w14:textId="4FEE7390" w:rsidR="00F04B11" w:rsidRPr="00D23213" w:rsidRDefault="008565F4"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1,410,000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A188839" w14:textId="09D44C02" w:rsidR="00F04B11" w:rsidRPr="00D23213" w:rsidRDefault="008565F4"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6A2EA1E9" w14:textId="61E94B34" w:rsidR="00F04B11" w:rsidRPr="00D23213" w:rsidRDefault="008565F4" w:rsidP="00F04B11">
            <w:pPr>
              <w:spacing w:before="120"/>
              <w:jc w:val="cente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bs-Latn-BA"/>
              </w:rPr>
              <w:t>1,410,000</w:t>
            </w:r>
          </w:p>
        </w:tc>
      </w:tr>
      <w:tr w:rsidR="00F04B11" w:rsidRPr="00D23213" w14:paraId="22E19CE1" w14:textId="77777777" w:rsidTr="000B6E58">
        <w:trPr>
          <w:trHeight w:val="213"/>
          <w:jc w:val="center"/>
        </w:trPr>
        <w:tc>
          <w:tcPr>
            <w:tcW w:w="1754" w:type="dxa"/>
            <w:vMerge/>
            <w:tcBorders>
              <w:left w:val="single" w:sz="4" w:space="0" w:color="000000"/>
              <w:right w:val="single" w:sz="4" w:space="0" w:color="000000"/>
            </w:tcBorders>
            <w:shd w:val="clear" w:color="auto" w:fill="DEEAF6"/>
            <w:vAlign w:val="center"/>
          </w:tcPr>
          <w:p w14:paraId="7F892701" w14:textId="77777777" w:rsidR="00F04B11" w:rsidRPr="00D23213" w:rsidRDefault="00F04B11" w:rsidP="00F04B11">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4BAA56F6" w14:textId="6F1346E8" w:rsidR="00F04B11" w:rsidRPr="00D23213" w:rsidRDefault="00F04B11" w:rsidP="00F04B11">
            <w:pPr>
              <w:rPr>
                <w:rFonts w:asciiTheme="minorHAnsi" w:hAnsiTheme="minorHAnsi" w:cstheme="minorHAnsi"/>
                <w:noProof/>
                <w:sz w:val="20"/>
                <w:szCs w:val="20"/>
                <w:lang w:val="bs-Latn-BA"/>
              </w:rPr>
            </w:pPr>
            <w:r w:rsidRPr="00D23213">
              <w:rPr>
                <w:rFonts w:asciiTheme="minorHAnsi" w:hAnsiTheme="minorHAnsi" w:cstheme="minorHAnsi"/>
                <w:sz w:val="20"/>
                <w:szCs w:val="20"/>
              </w:rPr>
              <w:t>1.2.1.2. Projekat Izgradnja kapaciteta poljoprivredne zadruge (za skladištenje i pakovanje poljoprivrednih proizvoda, povezivanje sa tržištem)</w:t>
            </w:r>
          </w:p>
        </w:tc>
        <w:tc>
          <w:tcPr>
            <w:tcW w:w="2970" w:type="dxa"/>
            <w:gridSpan w:val="2"/>
            <w:tcBorders>
              <w:left w:val="single" w:sz="4" w:space="0" w:color="000000"/>
              <w:right w:val="single" w:sz="4" w:space="0" w:color="000000"/>
            </w:tcBorders>
            <w:vAlign w:val="center"/>
          </w:tcPr>
          <w:p w14:paraId="0E961552" w14:textId="77777777" w:rsidR="00F04B11" w:rsidRPr="00D23213" w:rsidRDefault="00F04B11" w:rsidP="00F04B11">
            <w:pPr>
              <w:rPr>
                <w:rFonts w:asciiTheme="minorHAnsi" w:hAnsiTheme="minorHAnsi" w:cstheme="minorHAnsi"/>
                <w:bCs/>
                <w:sz w:val="20"/>
                <w:szCs w:val="20"/>
              </w:rPr>
            </w:pPr>
            <w:r w:rsidRPr="00D23213">
              <w:rPr>
                <w:rFonts w:asciiTheme="minorHAnsi" w:hAnsiTheme="minorHAnsi" w:cstheme="minorHAnsi"/>
                <w:bCs/>
                <w:sz w:val="20"/>
                <w:szCs w:val="20"/>
              </w:rPr>
              <w:t>Najmanje X članova zadruge</w:t>
            </w:r>
          </w:p>
          <w:p w14:paraId="2EBCAE74" w14:textId="77777777" w:rsidR="00F04B11" w:rsidRPr="00D23213" w:rsidRDefault="00F04B11" w:rsidP="00F04B11">
            <w:pPr>
              <w:rPr>
                <w:rFonts w:asciiTheme="minorHAnsi" w:hAnsiTheme="minorHAnsi" w:cstheme="minorHAnsi"/>
                <w:bCs/>
                <w:sz w:val="20"/>
                <w:szCs w:val="20"/>
              </w:rPr>
            </w:pPr>
            <w:r w:rsidRPr="00D23213">
              <w:rPr>
                <w:rFonts w:asciiTheme="minorHAnsi" w:hAnsiTheme="minorHAnsi" w:cstheme="minorHAnsi"/>
                <w:bCs/>
                <w:sz w:val="20"/>
                <w:szCs w:val="20"/>
              </w:rPr>
              <w:t>Najmanje X korisnika usluga godišnje</w:t>
            </w:r>
          </w:p>
          <w:p w14:paraId="60D6F01C" w14:textId="177D6372" w:rsidR="00F04B11" w:rsidRPr="00D23213" w:rsidRDefault="00F04B11" w:rsidP="00F04B11">
            <w:pPr>
              <w:rPr>
                <w:rFonts w:asciiTheme="minorHAnsi" w:hAnsiTheme="minorHAnsi" w:cstheme="minorHAnsi"/>
                <w:b/>
                <w:noProof/>
                <w:sz w:val="20"/>
                <w:szCs w:val="20"/>
                <w:lang w:val="bs-Latn-BA"/>
              </w:rPr>
            </w:pPr>
            <w:r w:rsidRPr="00D23213">
              <w:rPr>
                <w:rFonts w:asciiTheme="minorHAnsi" w:hAnsiTheme="minorHAnsi" w:cstheme="minorHAnsi"/>
                <w:bCs/>
                <w:sz w:val="20"/>
                <w:szCs w:val="20"/>
              </w:rPr>
              <w:t>Najmanje X poslovnih partnera</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C64CB9" w14:textId="08170DB9" w:rsidR="00F04B11" w:rsidRPr="00D23213" w:rsidRDefault="008565F4"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20,000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27A13EC" w14:textId="6B70BAB1" w:rsidR="00F04B11" w:rsidRPr="00D23213" w:rsidRDefault="008565F4"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80,000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605B1FD8" w14:textId="4C8DD11A" w:rsidR="00F04B11" w:rsidRPr="00D23213" w:rsidRDefault="008565F4"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100,000</w:t>
            </w:r>
          </w:p>
        </w:tc>
      </w:tr>
      <w:tr w:rsidR="00F04B11" w:rsidRPr="00D23213" w14:paraId="756B496F" w14:textId="77777777" w:rsidTr="00B838EC">
        <w:trPr>
          <w:trHeight w:val="1221"/>
          <w:jc w:val="center"/>
        </w:trPr>
        <w:tc>
          <w:tcPr>
            <w:tcW w:w="1754" w:type="dxa"/>
            <w:vMerge/>
            <w:tcBorders>
              <w:left w:val="single" w:sz="4" w:space="0" w:color="000000"/>
              <w:right w:val="single" w:sz="4" w:space="0" w:color="000000"/>
            </w:tcBorders>
            <w:shd w:val="clear" w:color="auto" w:fill="DEEAF6"/>
            <w:vAlign w:val="center"/>
          </w:tcPr>
          <w:p w14:paraId="444C1D6F" w14:textId="77777777" w:rsidR="00F04B11" w:rsidRPr="00D23213" w:rsidRDefault="00F04B11" w:rsidP="00F04B11">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3711FFEB" w14:textId="02B8C62B" w:rsidR="00F04B11" w:rsidRPr="00D23213" w:rsidRDefault="00F04B11" w:rsidP="00F04B11">
            <w:pPr>
              <w:rPr>
                <w:rFonts w:asciiTheme="minorHAnsi" w:hAnsiTheme="minorHAnsi" w:cstheme="minorHAnsi"/>
                <w:b/>
                <w:noProof/>
                <w:sz w:val="20"/>
                <w:szCs w:val="20"/>
                <w:lang w:val="bs-Latn-BA"/>
              </w:rPr>
            </w:pPr>
            <w:r w:rsidRPr="00D23213">
              <w:rPr>
                <w:rFonts w:asciiTheme="minorHAnsi" w:hAnsiTheme="minorHAnsi" w:cstheme="minorHAnsi"/>
                <w:sz w:val="20"/>
                <w:szCs w:val="20"/>
              </w:rPr>
              <w:t>1.2.1.3. Mjera: Savjetodavna podrška poljoprivrednim proizvođačima</w:t>
            </w:r>
          </w:p>
        </w:tc>
        <w:tc>
          <w:tcPr>
            <w:tcW w:w="2970" w:type="dxa"/>
            <w:gridSpan w:val="2"/>
            <w:tcBorders>
              <w:left w:val="single" w:sz="4" w:space="0" w:color="000000"/>
              <w:right w:val="single" w:sz="4" w:space="0" w:color="000000"/>
            </w:tcBorders>
            <w:vAlign w:val="center"/>
          </w:tcPr>
          <w:p w14:paraId="4893B6FB" w14:textId="595C92C9" w:rsidR="00F04B11" w:rsidRPr="00D23213" w:rsidRDefault="00F04B11" w:rsidP="00F04B11">
            <w:pPr>
              <w:rPr>
                <w:rFonts w:asciiTheme="minorHAnsi" w:hAnsiTheme="minorHAnsi" w:cstheme="minorHAnsi"/>
                <w:b/>
                <w:noProof/>
                <w:sz w:val="20"/>
                <w:szCs w:val="20"/>
                <w:lang w:val="bs-Latn-BA"/>
              </w:rPr>
            </w:pPr>
            <w:r w:rsidRPr="00D23213">
              <w:rPr>
                <w:rFonts w:asciiTheme="minorHAnsi" w:hAnsiTheme="minorHAnsi" w:cstheme="minorHAnsi"/>
                <w:bCs/>
                <w:noProof/>
                <w:sz w:val="20"/>
                <w:szCs w:val="20"/>
                <w:lang w:val="hr-HR"/>
              </w:rPr>
              <w:t xml:space="preserve">Unapređeni kapaciteti za najmanje X% proizvođača </w:t>
            </w:r>
            <w:r w:rsidRPr="00D23213">
              <w:rPr>
                <w:rFonts w:asciiTheme="minorHAnsi" w:hAnsiTheme="minorHAnsi" w:cstheme="minorHAnsi"/>
                <w:sz w:val="20"/>
                <w:szCs w:val="20"/>
              </w:rPr>
              <w:t>do kraja 2020. godine (sajam Novi Sad 50, sajam pčelarstva Beograd 50 + 100 u opštini)</w:t>
            </w:r>
          </w:p>
        </w:tc>
        <w:tc>
          <w:tcPr>
            <w:tcW w:w="1890" w:type="dxa"/>
            <w:tcBorders>
              <w:top w:val="single" w:sz="4" w:space="0" w:color="000000"/>
              <w:left w:val="single" w:sz="4" w:space="0" w:color="000000"/>
              <w:right w:val="single" w:sz="4" w:space="0" w:color="000000"/>
            </w:tcBorders>
            <w:shd w:val="clear" w:color="auto" w:fill="F2F2F2"/>
            <w:vAlign w:val="center"/>
          </w:tcPr>
          <w:p w14:paraId="65DFA881" w14:textId="5F44BBEB" w:rsidR="00F04B11" w:rsidRPr="00D23213" w:rsidRDefault="008565F4"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21,000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14:paraId="5050373A" w14:textId="6AEA0381" w:rsidR="00F04B11" w:rsidRPr="00D23213" w:rsidRDefault="008565F4"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726" w:type="dxa"/>
            <w:gridSpan w:val="2"/>
            <w:tcBorders>
              <w:top w:val="single" w:sz="4" w:space="0" w:color="000000"/>
              <w:left w:val="single" w:sz="4" w:space="0" w:color="000000"/>
              <w:right w:val="single" w:sz="4" w:space="0" w:color="000000"/>
            </w:tcBorders>
            <w:shd w:val="clear" w:color="auto" w:fill="95B3D7"/>
            <w:vAlign w:val="center"/>
          </w:tcPr>
          <w:p w14:paraId="30638829" w14:textId="028EF552" w:rsidR="00F04B11" w:rsidRPr="00D23213" w:rsidRDefault="008565F4" w:rsidP="00F04B11">
            <w:pPr>
              <w:spacing w:before="120"/>
              <w:jc w:val="cente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bs-Latn-BA"/>
              </w:rPr>
              <w:t>21,000</w:t>
            </w:r>
          </w:p>
        </w:tc>
      </w:tr>
      <w:tr w:rsidR="00F04B11" w:rsidRPr="00D23213" w14:paraId="4F0E497C" w14:textId="77777777" w:rsidTr="00B838EC">
        <w:trPr>
          <w:trHeight w:val="787"/>
          <w:jc w:val="center"/>
        </w:trPr>
        <w:tc>
          <w:tcPr>
            <w:tcW w:w="1754" w:type="dxa"/>
            <w:tcBorders>
              <w:left w:val="single" w:sz="4" w:space="0" w:color="000000"/>
              <w:right w:val="single" w:sz="4" w:space="0" w:color="000000"/>
            </w:tcBorders>
            <w:shd w:val="clear" w:color="auto" w:fill="8EAADB"/>
            <w:vAlign w:val="center"/>
          </w:tcPr>
          <w:p w14:paraId="24F3E331" w14:textId="77777777" w:rsidR="00F04B11" w:rsidRPr="00D23213" w:rsidRDefault="00F04B11" w:rsidP="00B838EC">
            <w:pPr>
              <w:numPr>
                <w:ilvl w:val="1"/>
                <w:numId w:val="25"/>
              </w:num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Sektorski cilj</w:t>
            </w:r>
          </w:p>
        </w:tc>
        <w:tc>
          <w:tcPr>
            <w:tcW w:w="3757" w:type="dxa"/>
            <w:tcBorders>
              <w:left w:val="single" w:sz="4" w:space="0" w:color="000000"/>
              <w:right w:val="single" w:sz="4" w:space="0" w:color="000000"/>
            </w:tcBorders>
            <w:vAlign w:val="center"/>
          </w:tcPr>
          <w:p w14:paraId="3B5F9C47" w14:textId="41D3AB73" w:rsidR="00F04B11" w:rsidRPr="00D23213" w:rsidRDefault="00F04B11" w:rsidP="00B838EC">
            <w:pPr>
              <w:rPr>
                <w:rFonts w:asciiTheme="minorHAnsi" w:hAnsiTheme="minorHAnsi" w:cstheme="minorHAnsi"/>
                <w:b/>
                <w:noProof/>
                <w:color w:val="FF0000"/>
                <w:sz w:val="20"/>
                <w:szCs w:val="20"/>
                <w:lang w:val="bs-Latn-BA"/>
              </w:rPr>
            </w:pPr>
            <w:r w:rsidRPr="00D23213">
              <w:rPr>
                <w:rFonts w:asciiTheme="minorHAnsi" w:hAnsiTheme="minorHAnsi" w:cstheme="minorHAnsi"/>
                <w:b/>
                <w:bCs/>
                <w:sz w:val="20"/>
                <w:szCs w:val="20"/>
              </w:rPr>
              <w:t>Poboljšana i obogaćena turistička ponuda do 2020. godine</w:t>
            </w:r>
          </w:p>
        </w:tc>
        <w:tc>
          <w:tcPr>
            <w:tcW w:w="1620" w:type="dxa"/>
            <w:tcBorders>
              <w:left w:val="single" w:sz="4" w:space="0" w:color="000000"/>
              <w:right w:val="single" w:sz="4" w:space="0" w:color="000000"/>
            </w:tcBorders>
            <w:shd w:val="clear" w:color="auto" w:fill="8EAADB"/>
            <w:vAlign w:val="center"/>
          </w:tcPr>
          <w:p w14:paraId="5DFB2296" w14:textId="77777777" w:rsidR="00F04B11" w:rsidRPr="00D23213" w:rsidRDefault="00F04B11" w:rsidP="00B838EC">
            <w:pPr>
              <w:spacing w:before="40"/>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14:paraId="75F86C03" w14:textId="77777777" w:rsidR="00F04B11" w:rsidRPr="00D23213" w:rsidRDefault="00F04B11" w:rsidP="00F04B11">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Rast broja turista od najmanje 10% do 2020. godine u odnosu na 2017. godinu</w:t>
            </w:r>
          </w:p>
          <w:p w14:paraId="2E526545" w14:textId="56549D88" w:rsidR="00F04B11" w:rsidRPr="00D23213" w:rsidRDefault="00F04B11" w:rsidP="00F04B11">
            <w:pPr>
              <w:numPr>
                <w:ilvl w:val="0"/>
                <w:numId w:val="27"/>
              </w:numPr>
              <w:tabs>
                <w:tab w:val="clear" w:pos="720"/>
              </w:tabs>
              <w:ind w:left="269" w:hanging="269"/>
              <w:jc w:val="both"/>
              <w:rPr>
                <w:rFonts w:asciiTheme="minorHAnsi" w:hAnsiTheme="minorHAnsi" w:cstheme="minorHAnsi"/>
                <w:noProof/>
                <w:color w:val="FF0000"/>
                <w:sz w:val="20"/>
                <w:szCs w:val="20"/>
                <w:lang w:val="bs-Latn-BA"/>
              </w:rPr>
            </w:pPr>
            <w:r w:rsidRPr="00D23213">
              <w:rPr>
                <w:rFonts w:asciiTheme="minorHAnsi" w:hAnsiTheme="minorHAnsi" w:cstheme="minorHAnsi"/>
                <w:noProof/>
                <w:sz w:val="20"/>
                <w:szCs w:val="20"/>
                <w:lang w:val="sr-Cyrl-CS"/>
              </w:rPr>
              <w:t>Rast prihoda od  hotelijerstva i ugostiteljstva od najmanje 10% do 2020. u odnosu na 2017. godinu</w:t>
            </w:r>
          </w:p>
        </w:tc>
        <w:tc>
          <w:tcPr>
            <w:tcW w:w="1170" w:type="dxa"/>
            <w:tcBorders>
              <w:top w:val="single" w:sz="4" w:space="0" w:color="000000"/>
              <w:left w:val="single" w:sz="4" w:space="0" w:color="000000"/>
              <w:right w:val="single" w:sz="4" w:space="0" w:color="000000"/>
            </w:tcBorders>
            <w:shd w:val="clear" w:color="auto" w:fill="8EAADB"/>
            <w:vAlign w:val="center"/>
          </w:tcPr>
          <w:p w14:paraId="2A03E6C7" w14:textId="77777777" w:rsidR="00F04B11" w:rsidRPr="00D23213" w:rsidRDefault="00F04B11" w:rsidP="00B838EC">
            <w:pPr>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vAlign w:val="center"/>
          </w:tcPr>
          <w:p w14:paraId="5D12B7C6" w14:textId="77777777" w:rsidR="00F04B11" w:rsidRPr="00D23213" w:rsidRDefault="00F04B11" w:rsidP="00F04B11">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Broj turista</w:t>
            </w:r>
          </w:p>
          <w:p w14:paraId="1D4083D5" w14:textId="32211D18" w:rsidR="00F04B11" w:rsidRPr="00D23213" w:rsidRDefault="00F04B11" w:rsidP="00F04B11">
            <w:pPr>
              <w:numPr>
                <w:ilvl w:val="0"/>
                <w:numId w:val="27"/>
              </w:numPr>
              <w:tabs>
                <w:tab w:val="clear" w:pos="720"/>
              </w:tabs>
              <w:ind w:left="269" w:hanging="269"/>
              <w:jc w:val="both"/>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sr-Cyrl-CS"/>
              </w:rPr>
              <w:t>Prihod od  hotelijerstva i ugostiteljstva</w:t>
            </w:r>
          </w:p>
        </w:tc>
      </w:tr>
      <w:tr w:rsidR="00F04B11" w:rsidRPr="00D23213" w14:paraId="03227615" w14:textId="77777777" w:rsidTr="00B838EC">
        <w:trPr>
          <w:trHeight w:val="213"/>
          <w:jc w:val="center"/>
        </w:trPr>
        <w:tc>
          <w:tcPr>
            <w:tcW w:w="1754" w:type="dxa"/>
            <w:vMerge w:val="restart"/>
            <w:tcBorders>
              <w:left w:val="single" w:sz="4" w:space="0" w:color="000000"/>
              <w:right w:val="single" w:sz="4" w:space="0" w:color="000000"/>
            </w:tcBorders>
            <w:shd w:val="clear" w:color="auto" w:fill="DEEAF6"/>
            <w:vAlign w:val="center"/>
          </w:tcPr>
          <w:p w14:paraId="72260258" w14:textId="00A8E5DF" w:rsidR="00F04B11" w:rsidRPr="00D23213" w:rsidRDefault="00F04B11" w:rsidP="00B838EC">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1.3.1.Program</w:t>
            </w:r>
          </w:p>
        </w:tc>
        <w:tc>
          <w:tcPr>
            <w:tcW w:w="12233" w:type="dxa"/>
            <w:gridSpan w:val="8"/>
            <w:tcBorders>
              <w:left w:val="single" w:sz="4" w:space="0" w:color="000000"/>
              <w:right w:val="single" w:sz="4" w:space="0" w:color="000000"/>
            </w:tcBorders>
          </w:tcPr>
          <w:p w14:paraId="3734E42D" w14:textId="361AF164" w:rsidR="00F04B11" w:rsidRPr="00D23213" w:rsidRDefault="00F04B11" w:rsidP="00B838EC">
            <w:pPr>
              <w:spacing w:before="120"/>
              <w:jc w:val="center"/>
              <w:rPr>
                <w:rFonts w:asciiTheme="minorHAnsi" w:hAnsiTheme="minorHAnsi" w:cstheme="minorHAnsi"/>
                <w:b/>
                <w:noProof/>
                <w:sz w:val="20"/>
                <w:szCs w:val="20"/>
                <w:lang w:val="bs-Latn-BA"/>
              </w:rPr>
            </w:pPr>
            <w:r w:rsidRPr="00D23213">
              <w:rPr>
                <w:rFonts w:asciiTheme="minorHAnsi" w:hAnsiTheme="minorHAnsi" w:cstheme="minorHAnsi"/>
                <w:b/>
                <w:sz w:val="20"/>
                <w:szCs w:val="20"/>
              </w:rPr>
              <w:t>Razvoj kapaciteta u turizmu</w:t>
            </w:r>
          </w:p>
        </w:tc>
      </w:tr>
      <w:tr w:rsidR="00F04B11" w:rsidRPr="00D23213" w14:paraId="2A1D4D7A" w14:textId="77777777" w:rsidTr="00B838EC">
        <w:trPr>
          <w:trHeight w:val="2930"/>
          <w:jc w:val="center"/>
        </w:trPr>
        <w:tc>
          <w:tcPr>
            <w:tcW w:w="1754" w:type="dxa"/>
            <w:vMerge/>
            <w:tcBorders>
              <w:left w:val="single" w:sz="4" w:space="0" w:color="000000"/>
              <w:right w:val="single" w:sz="4" w:space="0" w:color="000000"/>
            </w:tcBorders>
            <w:shd w:val="clear" w:color="auto" w:fill="DEEAF6"/>
            <w:vAlign w:val="center"/>
          </w:tcPr>
          <w:p w14:paraId="5C18AE09" w14:textId="77777777" w:rsidR="00F04B11" w:rsidRPr="00D23213" w:rsidRDefault="00F04B11" w:rsidP="00B838EC">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39D98822" w14:textId="4EF3EA94" w:rsidR="00F04B11" w:rsidRPr="00D23213" w:rsidRDefault="00F04B11" w:rsidP="00B838EC">
            <w:pPr>
              <w:rPr>
                <w:rFonts w:asciiTheme="minorHAnsi" w:hAnsiTheme="minorHAnsi" w:cstheme="minorHAnsi"/>
                <w:noProof/>
                <w:sz w:val="20"/>
                <w:szCs w:val="20"/>
                <w:lang w:val="bs-Latn-BA"/>
              </w:rPr>
            </w:pPr>
            <w:r w:rsidRPr="00D23213">
              <w:rPr>
                <w:rFonts w:asciiTheme="minorHAnsi" w:hAnsiTheme="minorHAnsi" w:cstheme="minorHAnsi"/>
                <w:sz w:val="20"/>
                <w:szCs w:val="20"/>
              </w:rPr>
              <w:t>1.3.1.1. Projekat Unapređenje i promocija turističke ponude</w:t>
            </w:r>
          </w:p>
        </w:tc>
        <w:tc>
          <w:tcPr>
            <w:tcW w:w="2970" w:type="dxa"/>
            <w:gridSpan w:val="2"/>
            <w:tcBorders>
              <w:left w:val="single" w:sz="4" w:space="0" w:color="000000"/>
              <w:right w:val="single" w:sz="4" w:space="0" w:color="000000"/>
            </w:tcBorders>
            <w:vAlign w:val="center"/>
          </w:tcPr>
          <w:p w14:paraId="67E96EF4" w14:textId="77777777" w:rsidR="00F04B11" w:rsidRPr="00D23213" w:rsidRDefault="00F04B11" w:rsidP="00F04B11">
            <w:pPr>
              <w:rPr>
                <w:rFonts w:asciiTheme="minorHAnsi" w:hAnsiTheme="minorHAnsi" w:cstheme="minorHAnsi"/>
                <w:b/>
                <w:bCs/>
                <w:sz w:val="20"/>
                <w:szCs w:val="20"/>
                <w:lang w:val="sr-Cyrl-BA"/>
              </w:rPr>
            </w:pPr>
            <w:r w:rsidRPr="00D23213">
              <w:rPr>
                <w:rFonts w:asciiTheme="minorHAnsi" w:hAnsiTheme="minorHAnsi" w:cstheme="minorHAnsi"/>
                <w:noProof/>
                <w:sz w:val="20"/>
                <w:szCs w:val="20"/>
                <w:lang w:val="hr-HR"/>
              </w:rPr>
              <w:t>Broj smještajnih kapaciteta u 2020. godini povećan za 20% u odnosu na 2017. godinu</w:t>
            </w:r>
          </w:p>
          <w:p w14:paraId="01526FD8" w14:textId="77777777" w:rsidR="00F04B11" w:rsidRPr="00D23213" w:rsidRDefault="00F04B11" w:rsidP="00F04B11">
            <w:pPr>
              <w:rPr>
                <w:rFonts w:asciiTheme="minorHAnsi" w:hAnsiTheme="minorHAnsi" w:cstheme="minorHAnsi"/>
                <w:bCs/>
                <w:sz w:val="20"/>
                <w:szCs w:val="20"/>
              </w:rPr>
            </w:pPr>
            <w:r w:rsidRPr="00D23213">
              <w:rPr>
                <w:rFonts w:asciiTheme="minorHAnsi" w:hAnsiTheme="minorHAnsi" w:cstheme="minorHAnsi"/>
                <w:bCs/>
                <w:sz w:val="20"/>
                <w:szCs w:val="20"/>
              </w:rPr>
              <w:t>Najmanje X projekata implementiranih u partnerstvu</w:t>
            </w:r>
          </w:p>
          <w:p w14:paraId="529965D8" w14:textId="77777777" w:rsidR="00F04B11" w:rsidRPr="00D23213" w:rsidRDefault="00F04B11" w:rsidP="00F04B11">
            <w:pPr>
              <w:rPr>
                <w:rFonts w:asciiTheme="minorHAnsi" w:hAnsiTheme="minorHAnsi" w:cstheme="minorHAnsi"/>
                <w:b/>
                <w:bCs/>
                <w:sz w:val="20"/>
                <w:szCs w:val="20"/>
              </w:rPr>
            </w:pPr>
            <w:r w:rsidRPr="00D23213">
              <w:rPr>
                <w:rFonts w:asciiTheme="minorHAnsi" w:hAnsiTheme="minorHAnsi" w:cstheme="minorHAnsi"/>
                <w:bCs/>
                <w:sz w:val="20"/>
                <w:szCs w:val="20"/>
              </w:rPr>
              <w:t>Najmanje X operatera koji su uvrstili turističku ponudu opštine Prnjavor u svoje turističke pakete/ponudu</w:t>
            </w:r>
          </w:p>
          <w:p w14:paraId="69484A4E" w14:textId="61E4E809" w:rsidR="00F04B11" w:rsidRPr="00D23213" w:rsidRDefault="00F04B11" w:rsidP="00F04B11">
            <w:pPr>
              <w:rPr>
                <w:rFonts w:asciiTheme="minorHAnsi" w:hAnsiTheme="minorHAnsi" w:cstheme="minorHAnsi"/>
                <w:b/>
                <w:noProof/>
                <w:sz w:val="20"/>
                <w:szCs w:val="20"/>
                <w:lang w:val="bs-Latn-BA"/>
              </w:rPr>
            </w:pPr>
            <w:r w:rsidRPr="00D23213">
              <w:rPr>
                <w:rFonts w:asciiTheme="minorHAnsi" w:hAnsiTheme="minorHAnsi" w:cstheme="minorHAnsi"/>
                <w:sz w:val="20"/>
                <w:szCs w:val="20"/>
              </w:rPr>
              <w:t>Turistički potencijali promovisani na najmanje 5 događaja/sajmova do 2020.</w:t>
            </w:r>
          </w:p>
        </w:tc>
        <w:tc>
          <w:tcPr>
            <w:tcW w:w="1890" w:type="dxa"/>
            <w:tcBorders>
              <w:top w:val="single" w:sz="4" w:space="0" w:color="000000"/>
              <w:left w:val="single" w:sz="4" w:space="0" w:color="000000"/>
              <w:right w:val="single" w:sz="4" w:space="0" w:color="000000"/>
            </w:tcBorders>
            <w:shd w:val="clear" w:color="auto" w:fill="F2F2F2"/>
            <w:vAlign w:val="center"/>
          </w:tcPr>
          <w:p w14:paraId="155776E5" w14:textId="3B2FA45B" w:rsidR="00F04B11" w:rsidRPr="00D23213" w:rsidRDefault="008565F4" w:rsidP="00B838EC">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30,000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14:paraId="5778D986" w14:textId="6CC61425" w:rsidR="00F04B11" w:rsidRPr="00D23213" w:rsidRDefault="008565F4" w:rsidP="00B838EC">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20,000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14:paraId="523DDB92" w14:textId="274942E5" w:rsidR="00F04B11" w:rsidRPr="00D23213" w:rsidRDefault="008565F4" w:rsidP="00B838EC">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50,000</w:t>
            </w:r>
          </w:p>
        </w:tc>
      </w:tr>
      <w:tr w:rsidR="00F04B11" w:rsidRPr="00D23213" w14:paraId="2621B7C8" w14:textId="77777777" w:rsidTr="000B6E58">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14:paraId="5C426D6F" w14:textId="507BDD93" w:rsidR="00F04B11" w:rsidRPr="00D23213" w:rsidRDefault="00CC0127" w:rsidP="00F04B11">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lastRenderedPageBreak/>
              <w:t>2</w:t>
            </w:r>
            <w:r w:rsidR="00F04B11" w:rsidRPr="00D23213">
              <w:rPr>
                <w:rFonts w:asciiTheme="minorHAnsi" w:hAnsiTheme="minorHAnsi" w:cstheme="minorHAnsi"/>
                <w:b/>
                <w:noProof/>
                <w:sz w:val="20"/>
                <w:szCs w:val="20"/>
                <w:lang w:val="bs-Latn-BA"/>
              </w:rPr>
              <w:t>.</w:t>
            </w:r>
            <w:r w:rsidRPr="00D23213">
              <w:rPr>
                <w:rFonts w:asciiTheme="minorHAnsi" w:hAnsiTheme="minorHAnsi" w:cstheme="minorHAnsi"/>
                <w:b/>
                <w:noProof/>
                <w:sz w:val="20"/>
                <w:szCs w:val="20"/>
                <w:lang w:val="bs-Latn-BA"/>
              </w:rPr>
              <w:t xml:space="preserve"> </w:t>
            </w:r>
            <w:r w:rsidR="00F04B11" w:rsidRPr="00D23213">
              <w:rPr>
                <w:rFonts w:asciiTheme="minorHAnsi" w:hAnsiTheme="minorHAnsi" w:cstheme="minorHAnsi"/>
                <w:b/>
                <w:noProof/>
                <w:sz w:val="20"/>
                <w:szCs w:val="20"/>
                <w:lang w:val="bs-Latn-BA"/>
              </w:rPr>
              <w:t>Strateški cilj</w:t>
            </w:r>
          </w:p>
        </w:tc>
        <w:tc>
          <w:tcPr>
            <w:tcW w:w="12233" w:type="dxa"/>
            <w:gridSpan w:val="8"/>
            <w:tcBorders>
              <w:top w:val="single" w:sz="4" w:space="0" w:color="000000"/>
              <w:left w:val="single" w:sz="4" w:space="0" w:color="000000"/>
              <w:right w:val="single" w:sz="4" w:space="0" w:color="000000"/>
            </w:tcBorders>
            <w:vAlign w:val="center"/>
          </w:tcPr>
          <w:p w14:paraId="7B6D2B44" w14:textId="0E820161" w:rsidR="00F04B11" w:rsidRPr="00D23213" w:rsidRDefault="00CC0127" w:rsidP="00F04B11">
            <w:pPr>
              <w:spacing w:before="120"/>
              <w:jc w:val="center"/>
              <w:rPr>
                <w:rFonts w:asciiTheme="minorHAnsi" w:hAnsiTheme="minorHAnsi" w:cstheme="minorHAnsi"/>
                <w:b/>
                <w:noProof/>
                <w:color w:val="FF0000"/>
                <w:sz w:val="20"/>
                <w:szCs w:val="20"/>
                <w:lang w:val="bs-Latn-BA"/>
              </w:rPr>
            </w:pPr>
            <w:r w:rsidRPr="00D23213">
              <w:rPr>
                <w:rFonts w:asciiTheme="minorHAnsi" w:hAnsiTheme="minorHAnsi" w:cstheme="minorHAnsi"/>
                <w:b/>
                <w:bCs/>
                <w:noProof/>
                <w:sz w:val="20"/>
                <w:szCs w:val="20"/>
              </w:rPr>
              <w:t xml:space="preserve">Ostvaren visok kvalitet javnih i komunalnih usluga sa razvijenom društvenom infrastrukturom u urbanom i ruralnom području </w:t>
            </w:r>
          </w:p>
        </w:tc>
      </w:tr>
      <w:tr w:rsidR="00F04B11" w:rsidRPr="00D23213" w14:paraId="62F04DAC" w14:textId="77777777" w:rsidTr="000B6E58">
        <w:trPr>
          <w:trHeight w:val="787"/>
          <w:jc w:val="center"/>
        </w:trPr>
        <w:tc>
          <w:tcPr>
            <w:tcW w:w="1754" w:type="dxa"/>
            <w:tcBorders>
              <w:left w:val="single" w:sz="4" w:space="0" w:color="000000"/>
              <w:right w:val="single" w:sz="4" w:space="0" w:color="000000"/>
            </w:tcBorders>
            <w:shd w:val="clear" w:color="auto" w:fill="8EAADB"/>
            <w:vAlign w:val="center"/>
          </w:tcPr>
          <w:p w14:paraId="769432AB" w14:textId="006CE8F9" w:rsidR="00F04B11" w:rsidRPr="00D23213" w:rsidRDefault="00CC0127" w:rsidP="00F04B11">
            <w:pPr>
              <w:rPr>
                <w:rFonts w:asciiTheme="minorHAnsi" w:hAnsiTheme="minorHAnsi" w:cstheme="minorHAnsi"/>
                <w:b/>
                <w:noProof/>
                <w:sz w:val="20"/>
                <w:szCs w:val="20"/>
                <w:lang w:val="bs-Latn-BA"/>
              </w:rPr>
            </w:pPr>
            <w:bookmarkStart w:id="64" w:name="_Hlk496469132"/>
            <w:r w:rsidRPr="00D23213">
              <w:rPr>
                <w:rFonts w:asciiTheme="minorHAnsi" w:hAnsiTheme="minorHAnsi" w:cstheme="minorHAnsi"/>
                <w:b/>
                <w:noProof/>
                <w:sz w:val="20"/>
                <w:szCs w:val="20"/>
                <w:lang w:val="bs-Latn-BA"/>
              </w:rPr>
              <w:t>2</w:t>
            </w:r>
            <w:r w:rsidR="00F04B11" w:rsidRPr="00D23213">
              <w:rPr>
                <w:rFonts w:asciiTheme="minorHAnsi" w:hAnsiTheme="minorHAnsi" w:cstheme="minorHAnsi"/>
                <w:b/>
                <w:noProof/>
                <w:sz w:val="20"/>
                <w:szCs w:val="20"/>
                <w:lang w:val="bs-Latn-BA"/>
              </w:rPr>
              <w:t>.</w:t>
            </w:r>
            <w:r w:rsidRPr="00D23213">
              <w:rPr>
                <w:rFonts w:asciiTheme="minorHAnsi" w:hAnsiTheme="minorHAnsi" w:cstheme="minorHAnsi"/>
                <w:b/>
                <w:noProof/>
                <w:sz w:val="20"/>
                <w:szCs w:val="20"/>
                <w:lang w:val="bs-Latn-BA"/>
              </w:rPr>
              <w:t>1</w:t>
            </w:r>
            <w:r w:rsidR="00F04B11" w:rsidRPr="00D23213">
              <w:rPr>
                <w:rFonts w:asciiTheme="minorHAnsi" w:hAnsiTheme="minorHAnsi" w:cstheme="minorHAnsi"/>
                <w:b/>
                <w:noProof/>
                <w:sz w:val="20"/>
                <w:szCs w:val="20"/>
                <w:lang w:val="bs-Latn-BA"/>
              </w:rPr>
              <w:t>. Sektorski cilj</w:t>
            </w:r>
          </w:p>
        </w:tc>
        <w:tc>
          <w:tcPr>
            <w:tcW w:w="3757" w:type="dxa"/>
            <w:tcBorders>
              <w:left w:val="single" w:sz="4" w:space="0" w:color="000000"/>
              <w:right w:val="single" w:sz="4" w:space="0" w:color="000000"/>
            </w:tcBorders>
            <w:vAlign w:val="center"/>
          </w:tcPr>
          <w:p w14:paraId="2E68C11C" w14:textId="601820C8" w:rsidR="00F04B11" w:rsidRPr="00D23213" w:rsidRDefault="00CC0127" w:rsidP="00F04B11">
            <w:pPr>
              <w:rPr>
                <w:rFonts w:asciiTheme="minorHAnsi" w:hAnsiTheme="minorHAnsi" w:cstheme="minorHAnsi"/>
                <w:b/>
                <w:noProof/>
                <w:color w:val="FF0000"/>
                <w:sz w:val="20"/>
                <w:szCs w:val="20"/>
                <w:lang w:val="bs-Latn-BA"/>
              </w:rPr>
            </w:pPr>
            <w:r w:rsidRPr="00D23213">
              <w:rPr>
                <w:rFonts w:asciiTheme="minorHAnsi" w:hAnsiTheme="minorHAnsi" w:cstheme="minorHAnsi"/>
                <w:b/>
                <w:bCs/>
                <w:sz w:val="20"/>
                <w:szCs w:val="20"/>
              </w:rPr>
              <w:t xml:space="preserve">Unaprijeđen kvalitet i dostupnost </w:t>
            </w:r>
            <w:r w:rsidRPr="00D23213">
              <w:rPr>
                <w:rFonts w:asciiTheme="minorHAnsi" w:hAnsiTheme="minorHAnsi" w:cstheme="minorHAnsi"/>
                <w:b/>
                <w:bCs/>
                <w:sz w:val="20"/>
                <w:szCs w:val="20"/>
                <w:lang w:val="sr-Cyrl-CS"/>
              </w:rPr>
              <w:t>komunalne infrastrukture (vod</w:t>
            </w:r>
            <w:r w:rsidRPr="00D23213">
              <w:rPr>
                <w:rFonts w:asciiTheme="minorHAnsi" w:hAnsiTheme="minorHAnsi" w:cstheme="minorHAnsi"/>
                <w:b/>
                <w:bCs/>
                <w:sz w:val="20"/>
                <w:szCs w:val="20"/>
              </w:rPr>
              <w:t>ovod,</w:t>
            </w:r>
            <w:r w:rsidRPr="00D23213">
              <w:rPr>
                <w:rFonts w:asciiTheme="minorHAnsi" w:hAnsiTheme="minorHAnsi" w:cstheme="minorHAnsi"/>
                <w:b/>
                <w:bCs/>
                <w:sz w:val="20"/>
                <w:szCs w:val="20"/>
                <w:lang w:val="sr-Cyrl-CS"/>
              </w:rPr>
              <w:t xml:space="preserve"> kanalizacija</w:t>
            </w:r>
            <w:r w:rsidRPr="00D23213">
              <w:rPr>
                <w:rFonts w:asciiTheme="minorHAnsi" w:hAnsiTheme="minorHAnsi" w:cstheme="minorHAnsi"/>
                <w:b/>
                <w:bCs/>
                <w:sz w:val="20"/>
                <w:szCs w:val="20"/>
              </w:rPr>
              <w:t xml:space="preserve"> i putna infrastruktura</w:t>
            </w:r>
            <w:r w:rsidRPr="00D23213">
              <w:rPr>
                <w:rFonts w:asciiTheme="minorHAnsi" w:hAnsiTheme="minorHAnsi" w:cstheme="minorHAnsi"/>
                <w:b/>
                <w:bCs/>
                <w:sz w:val="20"/>
                <w:szCs w:val="20"/>
                <w:lang w:val="sr-Cyrl-CS"/>
              </w:rPr>
              <w:t>) na cijelom području opštine</w:t>
            </w:r>
            <w:r w:rsidRPr="00D23213">
              <w:rPr>
                <w:rFonts w:asciiTheme="minorHAnsi" w:hAnsiTheme="minorHAnsi" w:cstheme="minorHAnsi"/>
                <w:b/>
                <w:bCs/>
                <w:sz w:val="20"/>
                <w:szCs w:val="20"/>
              </w:rPr>
              <w:t xml:space="preserve"> do 2020. godine</w:t>
            </w:r>
          </w:p>
        </w:tc>
        <w:tc>
          <w:tcPr>
            <w:tcW w:w="1620" w:type="dxa"/>
            <w:tcBorders>
              <w:left w:val="single" w:sz="4" w:space="0" w:color="000000"/>
              <w:right w:val="single" w:sz="4" w:space="0" w:color="000000"/>
            </w:tcBorders>
            <w:shd w:val="clear" w:color="auto" w:fill="8EAADB"/>
            <w:vAlign w:val="center"/>
          </w:tcPr>
          <w:p w14:paraId="03C513BC" w14:textId="77777777" w:rsidR="00F04B11" w:rsidRPr="00D23213" w:rsidRDefault="00F04B11" w:rsidP="00F04B11">
            <w:pPr>
              <w:spacing w:before="40"/>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14:paraId="3894592D" w14:textId="77777777" w:rsidR="00CC0127" w:rsidRPr="00D23213" w:rsidRDefault="00CC0127" w:rsidP="00CC0127">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 xml:space="preserve">90% domaćinstava ima redovno snabdijevanje pitkom vodom do 2020. godine </w:t>
            </w:r>
          </w:p>
          <w:p w14:paraId="2E2DF67B" w14:textId="77777777" w:rsidR="00CC0127" w:rsidRPr="00D23213" w:rsidRDefault="00CC0127" w:rsidP="00CC0127">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Povećan procenat priključenih korisnika na kanalizacionu mrežu na 25% u slučaju stanovništva i 15% u slučaju privrednih subjekata do 2020. u odnosu na 2017. godinu</w:t>
            </w:r>
          </w:p>
          <w:p w14:paraId="34558C13" w14:textId="77777777" w:rsidR="00CC0127" w:rsidRPr="00D23213" w:rsidRDefault="00CC0127" w:rsidP="00CC0127">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Smanjen broj direktnih kanalizacionih ispusta u vodotoke i zemljište za 50% do 2020. godine</w:t>
            </w:r>
          </w:p>
          <w:p w14:paraId="50EB8201" w14:textId="77777777" w:rsidR="00CC0127" w:rsidRPr="00D23213" w:rsidRDefault="00CC0127" w:rsidP="00CC0127">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 xml:space="preserve">Veći stepen zadovoljstva stanovništva saobraćajnom infrastrukturom za 10% do 2020. u odnosu na 2017. </w:t>
            </w:r>
          </w:p>
          <w:p w14:paraId="75E736AD" w14:textId="77777777" w:rsidR="00CC0127" w:rsidRPr="00D23213" w:rsidRDefault="00CC0127" w:rsidP="00CC0127">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 xml:space="preserve">Unaprijeđeno snabdijevanje el. energijom za X% stanovnika opštine i X privrednih subjekata do 2020. u odnosu na 2017. </w:t>
            </w:r>
          </w:p>
          <w:p w14:paraId="2D087E48" w14:textId="422994A4" w:rsidR="00F04B11" w:rsidRPr="00D23213" w:rsidRDefault="00CC0127" w:rsidP="00CC0127">
            <w:pPr>
              <w:numPr>
                <w:ilvl w:val="0"/>
                <w:numId w:val="27"/>
              </w:numPr>
              <w:tabs>
                <w:tab w:val="clear" w:pos="720"/>
              </w:tabs>
              <w:ind w:left="269" w:hanging="269"/>
              <w:jc w:val="both"/>
              <w:rPr>
                <w:rFonts w:asciiTheme="minorHAnsi" w:hAnsiTheme="minorHAnsi" w:cstheme="minorHAnsi"/>
                <w:noProof/>
                <w:color w:val="FF0000"/>
                <w:sz w:val="20"/>
                <w:szCs w:val="20"/>
                <w:lang w:val="bs-Latn-BA"/>
              </w:rPr>
            </w:pPr>
            <w:r w:rsidRPr="00D23213">
              <w:rPr>
                <w:rFonts w:asciiTheme="minorHAnsi" w:hAnsiTheme="minorHAnsi" w:cstheme="minorHAnsi"/>
                <w:noProof/>
                <w:sz w:val="20"/>
                <w:szCs w:val="20"/>
                <w:lang w:val="sr-Cyrl-CS"/>
              </w:rPr>
              <w:t>Zaštićeno X saobraćajnica, stambenih i poslovnih objekata od klizišta do 2020.</w:t>
            </w:r>
          </w:p>
        </w:tc>
        <w:tc>
          <w:tcPr>
            <w:tcW w:w="1170" w:type="dxa"/>
            <w:tcBorders>
              <w:top w:val="single" w:sz="4" w:space="0" w:color="000000"/>
              <w:left w:val="single" w:sz="4" w:space="0" w:color="000000"/>
              <w:right w:val="single" w:sz="4" w:space="0" w:color="000000"/>
            </w:tcBorders>
            <w:shd w:val="clear" w:color="auto" w:fill="8EAADB"/>
            <w:vAlign w:val="center"/>
          </w:tcPr>
          <w:p w14:paraId="39E16713" w14:textId="77777777" w:rsidR="00F04B11" w:rsidRPr="00D23213" w:rsidRDefault="00F04B11" w:rsidP="00F04B11">
            <w:pPr>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vAlign w:val="center"/>
          </w:tcPr>
          <w:p w14:paraId="7F25F4B7" w14:textId="77777777" w:rsidR="00CC0127" w:rsidRPr="00D23213" w:rsidRDefault="00CC0127" w:rsidP="00CC0127">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 xml:space="preserve">Broj domaćinstava koja imaju redovno snabdijevanje pitkom vodom </w:t>
            </w:r>
          </w:p>
          <w:p w14:paraId="6E29FD0D" w14:textId="77777777" w:rsidR="00CC0127" w:rsidRPr="00D23213" w:rsidRDefault="00CC0127" w:rsidP="00CC0127">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Broj korisnika kanalizacione mreže</w:t>
            </w:r>
          </w:p>
          <w:p w14:paraId="5BDDBD34" w14:textId="77777777" w:rsidR="00CC0127" w:rsidRPr="00D23213" w:rsidRDefault="00CC0127" w:rsidP="00CC0127">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Broj direktnih kanalizacionih ispusta u vodotoke i zemljište</w:t>
            </w:r>
          </w:p>
          <w:p w14:paraId="64B059DE" w14:textId="77777777" w:rsidR="00CC0127" w:rsidRPr="00D23213" w:rsidRDefault="00CC0127" w:rsidP="00CC0127">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Stepen zadovoljstva stanovništva saobraćajnom infrastrukturom</w:t>
            </w:r>
          </w:p>
          <w:p w14:paraId="5C747BA7" w14:textId="77777777" w:rsidR="00CC0127" w:rsidRPr="00D23213" w:rsidRDefault="00CC0127" w:rsidP="00CC0127">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Broj stanovnika za koje je unapređeno snabdijevanje el. energijom</w:t>
            </w:r>
          </w:p>
          <w:p w14:paraId="7698E75A" w14:textId="7BB8A5FB" w:rsidR="00F04B11" w:rsidRPr="00D23213" w:rsidRDefault="00CC0127" w:rsidP="00CC0127">
            <w:pPr>
              <w:numPr>
                <w:ilvl w:val="0"/>
                <w:numId w:val="27"/>
              </w:numPr>
              <w:tabs>
                <w:tab w:val="clear" w:pos="720"/>
              </w:tabs>
              <w:ind w:left="269" w:hanging="269"/>
              <w:jc w:val="both"/>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sr-Cyrl-CS"/>
              </w:rPr>
              <w:t>Broj saobraćajnica, stambenih i poslovnih objekata zaštićenih od klizišta</w:t>
            </w:r>
          </w:p>
        </w:tc>
      </w:tr>
      <w:tr w:rsidR="00F04B11" w:rsidRPr="00D23213" w14:paraId="6C8DB603" w14:textId="77777777" w:rsidTr="000B6E58">
        <w:trPr>
          <w:trHeight w:val="213"/>
          <w:jc w:val="center"/>
        </w:trPr>
        <w:tc>
          <w:tcPr>
            <w:tcW w:w="1754" w:type="dxa"/>
            <w:vMerge w:val="restart"/>
            <w:tcBorders>
              <w:left w:val="single" w:sz="4" w:space="0" w:color="000000"/>
              <w:right w:val="single" w:sz="4" w:space="0" w:color="000000"/>
            </w:tcBorders>
            <w:shd w:val="clear" w:color="auto" w:fill="DEEAF6"/>
            <w:vAlign w:val="center"/>
          </w:tcPr>
          <w:p w14:paraId="37E0A191" w14:textId="475F881C" w:rsidR="00F04B11" w:rsidRPr="00D23213" w:rsidRDefault="00B838EC" w:rsidP="00F04B11">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2</w:t>
            </w:r>
            <w:r w:rsidR="00F04B11" w:rsidRPr="00D23213">
              <w:rPr>
                <w:rFonts w:asciiTheme="minorHAnsi" w:hAnsiTheme="minorHAnsi" w:cstheme="minorHAnsi"/>
                <w:b/>
                <w:noProof/>
                <w:sz w:val="20"/>
                <w:szCs w:val="20"/>
                <w:lang w:val="bs-Latn-BA"/>
              </w:rPr>
              <w:t>.</w:t>
            </w:r>
            <w:r w:rsidRPr="00D23213">
              <w:rPr>
                <w:rFonts w:asciiTheme="minorHAnsi" w:hAnsiTheme="minorHAnsi" w:cstheme="minorHAnsi"/>
                <w:b/>
                <w:noProof/>
                <w:sz w:val="20"/>
                <w:szCs w:val="20"/>
                <w:lang w:val="bs-Latn-BA"/>
              </w:rPr>
              <w:t>1</w:t>
            </w:r>
            <w:r w:rsidR="00F04B11" w:rsidRPr="00D23213">
              <w:rPr>
                <w:rFonts w:asciiTheme="minorHAnsi" w:hAnsiTheme="minorHAnsi" w:cstheme="minorHAnsi"/>
                <w:b/>
                <w:noProof/>
                <w:sz w:val="20"/>
                <w:szCs w:val="20"/>
                <w:lang w:val="bs-Latn-BA"/>
              </w:rPr>
              <w:t>.1.Program</w:t>
            </w:r>
          </w:p>
        </w:tc>
        <w:tc>
          <w:tcPr>
            <w:tcW w:w="12233" w:type="dxa"/>
            <w:gridSpan w:val="8"/>
            <w:tcBorders>
              <w:left w:val="single" w:sz="4" w:space="0" w:color="000000"/>
              <w:right w:val="single" w:sz="4" w:space="0" w:color="000000"/>
            </w:tcBorders>
            <w:vAlign w:val="center"/>
          </w:tcPr>
          <w:p w14:paraId="3FA30899" w14:textId="33986738" w:rsidR="00F04B11" w:rsidRPr="00D23213" w:rsidRDefault="00B838EC" w:rsidP="00F04B11">
            <w:pPr>
              <w:spacing w:before="120"/>
              <w:jc w:val="center"/>
              <w:rPr>
                <w:rFonts w:asciiTheme="minorHAnsi" w:hAnsiTheme="minorHAnsi" w:cstheme="minorHAnsi"/>
                <w:b/>
                <w:noProof/>
                <w:color w:val="FF0000"/>
                <w:sz w:val="20"/>
                <w:szCs w:val="20"/>
                <w:lang w:val="bs-Latn-BA"/>
              </w:rPr>
            </w:pPr>
            <w:r w:rsidRPr="00D23213">
              <w:rPr>
                <w:rFonts w:asciiTheme="minorHAnsi" w:hAnsiTheme="minorHAnsi" w:cstheme="minorHAnsi"/>
                <w:b/>
                <w:noProof/>
                <w:sz w:val="20"/>
                <w:szCs w:val="20"/>
              </w:rPr>
              <w:t>Unapređenje komunalne infrastrukture</w:t>
            </w:r>
          </w:p>
        </w:tc>
      </w:tr>
      <w:tr w:rsidR="00F04B11" w:rsidRPr="00D23213" w14:paraId="49284634" w14:textId="77777777" w:rsidTr="000B6E58">
        <w:trPr>
          <w:trHeight w:val="213"/>
          <w:jc w:val="center"/>
        </w:trPr>
        <w:tc>
          <w:tcPr>
            <w:tcW w:w="1754" w:type="dxa"/>
            <w:vMerge/>
            <w:tcBorders>
              <w:left w:val="single" w:sz="4" w:space="0" w:color="000000"/>
              <w:right w:val="single" w:sz="4" w:space="0" w:color="000000"/>
            </w:tcBorders>
            <w:shd w:val="clear" w:color="auto" w:fill="DEEAF6"/>
            <w:vAlign w:val="center"/>
          </w:tcPr>
          <w:p w14:paraId="138C8887" w14:textId="77777777" w:rsidR="00F04B11" w:rsidRPr="00D23213" w:rsidRDefault="00F04B11" w:rsidP="00F04B11">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115E6B34" w14:textId="007A459E" w:rsidR="00F04B11" w:rsidRPr="00D23213" w:rsidRDefault="00B838EC" w:rsidP="00F04B11">
            <w:pPr>
              <w:rPr>
                <w:rFonts w:asciiTheme="minorHAnsi" w:hAnsiTheme="minorHAnsi" w:cstheme="minorHAnsi"/>
                <w:noProof/>
                <w:sz w:val="20"/>
                <w:szCs w:val="20"/>
                <w:lang w:val="bs-Latn-BA"/>
              </w:rPr>
            </w:pPr>
            <w:r w:rsidRPr="00D23213">
              <w:rPr>
                <w:rFonts w:asciiTheme="minorHAnsi" w:hAnsiTheme="minorHAnsi" w:cstheme="minorHAnsi"/>
                <w:sz w:val="20"/>
                <w:szCs w:val="20"/>
              </w:rPr>
              <w:t xml:space="preserve">2.1.1.1. </w:t>
            </w:r>
            <w:r w:rsidR="00D57F3B" w:rsidRPr="00D23213">
              <w:rPr>
                <w:rFonts w:asciiTheme="minorHAnsi" w:hAnsiTheme="minorHAnsi" w:cstheme="minorHAnsi"/>
                <w:noProof/>
                <w:sz w:val="20"/>
                <w:szCs w:val="20"/>
                <w:lang w:val="bs-Latn-BA"/>
              </w:rPr>
              <w:t>Projekat</w:t>
            </w:r>
            <w:r w:rsidR="00D57F3B" w:rsidRPr="00D23213">
              <w:rPr>
                <w:rFonts w:asciiTheme="minorHAnsi" w:hAnsiTheme="minorHAnsi" w:cstheme="minorHAnsi"/>
                <w:sz w:val="20"/>
                <w:szCs w:val="20"/>
              </w:rPr>
              <w:t xml:space="preserve"> </w:t>
            </w:r>
            <w:r w:rsidRPr="00D23213">
              <w:rPr>
                <w:rFonts w:asciiTheme="minorHAnsi" w:hAnsiTheme="minorHAnsi" w:cstheme="minorHAnsi"/>
                <w:sz w:val="20"/>
                <w:szCs w:val="20"/>
              </w:rPr>
              <w:t>Izgradnja prioritetne putne mreže i saobraćajne infrastrukture</w:t>
            </w:r>
          </w:p>
        </w:tc>
        <w:tc>
          <w:tcPr>
            <w:tcW w:w="2970" w:type="dxa"/>
            <w:gridSpan w:val="2"/>
            <w:tcBorders>
              <w:left w:val="single" w:sz="4" w:space="0" w:color="000000"/>
              <w:right w:val="single" w:sz="4" w:space="0" w:color="000000"/>
            </w:tcBorders>
            <w:vAlign w:val="center"/>
          </w:tcPr>
          <w:p w14:paraId="5B21FD4D" w14:textId="77777777" w:rsidR="00D57F3B" w:rsidRPr="00D23213" w:rsidRDefault="00D57F3B" w:rsidP="00D57F3B">
            <w:pPr>
              <w:spacing w:after="120"/>
              <w:rPr>
                <w:rFonts w:asciiTheme="minorHAnsi" w:hAnsiTheme="minorHAnsi" w:cstheme="minorHAnsi"/>
                <w:bCs/>
                <w:sz w:val="20"/>
                <w:szCs w:val="20"/>
              </w:rPr>
            </w:pPr>
            <w:r w:rsidRPr="00D23213">
              <w:rPr>
                <w:rFonts w:asciiTheme="minorHAnsi" w:hAnsiTheme="minorHAnsi" w:cstheme="minorHAnsi"/>
                <w:bCs/>
                <w:sz w:val="20"/>
                <w:szCs w:val="20"/>
              </w:rPr>
              <w:t>Poboljšana saobraćajna infrastruktura za X građana</w:t>
            </w:r>
          </w:p>
          <w:p w14:paraId="6E435A4B" w14:textId="41FF5833" w:rsidR="00F04B11" w:rsidRPr="00D23213" w:rsidRDefault="00D57F3B" w:rsidP="00D57F3B">
            <w:pPr>
              <w:rPr>
                <w:rFonts w:asciiTheme="minorHAnsi" w:hAnsiTheme="minorHAnsi" w:cstheme="minorHAnsi"/>
                <w:b/>
                <w:noProof/>
                <w:sz w:val="20"/>
                <w:szCs w:val="20"/>
                <w:lang w:val="bs-Latn-BA"/>
              </w:rPr>
            </w:pPr>
            <w:r w:rsidRPr="00D23213">
              <w:rPr>
                <w:rFonts w:asciiTheme="minorHAnsi" w:hAnsiTheme="minorHAnsi" w:cstheme="minorHAnsi"/>
                <w:bCs/>
                <w:sz w:val="20"/>
                <w:szCs w:val="20"/>
              </w:rPr>
              <w:t>Najmanje 75% domaćinstava ima direktan pristup asfaltiranim saobraćajnicama do 2020.</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EBD620" w14:textId="610C0A0A" w:rsidR="00F04B11" w:rsidRPr="00D23213" w:rsidRDefault="00E35C13"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2,400,000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A824C3C" w14:textId="675E086C" w:rsidR="00F04B11" w:rsidRPr="00D23213" w:rsidRDefault="00E35C13"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600,000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73B385FE" w14:textId="3321A4C6" w:rsidR="00F04B11" w:rsidRPr="00D23213" w:rsidRDefault="00E35C13"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3,000,000</w:t>
            </w:r>
          </w:p>
        </w:tc>
      </w:tr>
      <w:tr w:rsidR="00F04B11" w:rsidRPr="00D23213" w14:paraId="581FB28F" w14:textId="77777777" w:rsidTr="000B6E58">
        <w:trPr>
          <w:trHeight w:val="213"/>
          <w:jc w:val="center"/>
        </w:trPr>
        <w:tc>
          <w:tcPr>
            <w:tcW w:w="1754" w:type="dxa"/>
            <w:vMerge/>
            <w:tcBorders>
              <w:left w:val="single" w:sz="4" w:space="0" w:color="000000"/>
              <w:right w:val="single" w:sz="4" w:space="0" w:color="000000"/>
            </w:tcBorders>
            <w:shd w:val="clear" w:color="auto" w:fill="DEEAF6"/>
            <w:vAlign w:val="center"/>
          </w:tcPr>
          <w:p w14:paraId="291A0625" w14:textId="77777777" w:rsidR="00F04B11" w:rsidRPr="00D23213" w:rsidRDefault="00F04B11" w:rsidP="00F04B11">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666A7755" w14:textId="56E24F5C" w:rsidR="00F04B11" w:rsidRPr="00D23213" w:rsidRDefault="00D57F3B" w:rsidP="00F04B11">
            <w:pPr>
              <w:rPr>
                <w:rFonts w:asciiTheme="minorHAnsi" w:hAnsiTheme="minorHAnsi" w:cstheme="minorHAnsi"/>
                <w:noProof/>
                <w:sz w:val="20"/>
                <w:szCs w:val="20"/>
                <w:lang w:val="bs-Latn-BA"/>
              </w:rPr>
            </w:pPr>
            <w:r w:rsidRPr="00D23213">
              <w:rPr>
                <w:rFonts w:asciiTheme="minorHAnsi" w:hAnsiTheme="minorHAnsi" w:cstheme="minorHAnsi"/>
                <w:sz w:val="20"/>
                <w:szCs w:val="20"/>
              </w:rPr>
              <w:t xml:space="preserve">2.1.1.2. </w:t>
            </w:r>
            <w:r w:rsidRPr="00D23213">
              <w:rPr>
                <w:rFonts w:asciiTheme="minorHAnsi" w:hAnsiTheme="minorHAnsi" w:cstheme="minorHAnsi"/>
                <w:noProof/>
                <w:sz w:val="20"/>
                <w:szCs w:val="20"/>
                <w:lang w:val="bs-Latn-BA"/>
              </w:rPr>
              <w:t>Projekat</w:t>
            </w:r>
            <w:r w:rsidRPr="00D23213">
              <w:rPr>
                <w:rFonts w:asciiTheme="minorHAnsi" w:hAnsiTheme="minorHAnsi" w:cstheme="minorHAnsi"/>
                <w:sz w:val="20"/>
                <w:szCs w:val="20"/>
              </w:rPr>
              <w:t xml:space="preserve"> Izgradnja prioritetne vodovodne mreže </w:t>
            </w:r>
          </w:p>
        </w:tc>
        <w:tc>
          <w:tcPr>
            <w:tcW w:w="2970" w:type="dxa"/>
            <w:gridSpan w:val="2"/>
            <w:tcBorders>
              <w:left w:val="single" w:sz="4" w:space="0" w:color="000000"/>
              <w:right w:val="single" w:sz="4" w:space="0" w:color="000000"/>
            </w:tcBorders>
            <w:vAlign w:val="center"/>
          </w:tcPr>
          <w:p w14:paraId="1D70D312" w14:textId="15B2B1EC" w:rsidR="00F04B11" w:rsidRPr="00D23213" w:rsidRDefault="00D57F3B" w:rsidP="00F04B11">
            <w:pPr>
              <w:rPr>
                <w:rFonts w:asciiTheme="minorHAnsi" w:hAnsiTheme="minorHAnsi" w:cstheme="minorHAnsi"/>
                <w:b/>
                <w:noProof/>
                <w:sz w:val="20"/>
                <w:szCs w:val="20"/>
                <w:lang w:val="bs-Latn-BA"/>
              </w:rPr>
            </w:pPr>
            <w:r w:rsidRPr="00D23213">
              <w:rPr>
                <w:rFonts w:asciiTheme="minorHAnsi" w:hAnsiTheme="minorHAnsi" w:cstheme="minorHAnsi"/>
                <w:bCs/>
                <w:sz w:val="20"/>
                <w:szCs w:val="20"/>
              </w:rPr>
              <w:t>Poboljšano snabdijevanje vodom za X građana / u naseljima ...</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5E0F31" w14:textId="5A0F8501" w:rsidR="00F04B11" w:rsidRPr="00D23213" w:rsidRDefault="00E35C13"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750,000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F798061" w14:textId="1E7C799B" w:rsidR="00F04B11" w:rsidRPr="00D23213" w:rsidRDefault="00E35C13"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750,000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433EB7D8" w14:textId="29417CDE" w:rsidR="00F04B11" w:rsidRPr="00D23213" w:rsidRDefault="00E35C13"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1,500,000</w:t>
            </w:r>
          </w:p>
        </w:tc>
      </w:tr>
      <w:tr w:rsidR="00F04B11" w:rsidRPr="00D23213" w14:paraId="435B2310" w14:textId="77777777" w:rsidTr="000B6E58">
        <w:trPr>
          <w:trHeight w:val="213"/>
          <w:jc w:val="center"/>
        </w:trPr>
        <w:tc>
          <w:tcPr>
            <w:tcW w:w="1754" w:type="dxa"/>
            <w:vMerge/>
            <w:tcBorders>
              <w:left w:val="single" w:sz="4" w:space="0" w:color="000000"/>
              <w:right w:val="single" w:sz="4" w:space="0" w:color="000000"/>
            </w:tcBorders>
            <w:shd w:val="clear" w:color="auto" w:fill="DEEAF6"/>
            <w:vAlign w:val="center"/>
          </w:tcPr>
          <w:p w14:paraId="5311F0AA" w14:textId="77777777" w:rsidR="00F04B11" w:rsidRPr="00D23213" w:rsidRDefault="00F04B11" w:rsidP="00F04B11">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724A85FE" w14:textId="330F35AA" w:rsidR="00F04B11" w:rsidRPr="00D23213" w:rsidRDefault="00D57F3B" w:rsidP="00F04B11">
            <w:pPr>
              <w:rPr>
                <w:rFonts w:asciiTheme="minorHAnsi" w:hAnsiTheme="minorHAnsi" w:cstheme="minorHAnsi"/>
                <w:b/>
                <w:noProof/>
                <w:sz w:val="20"/>
                <w:szCs w:val="20"/>
                <w:lang w:val="bs-Latn-BA"/>
              </w:rPr>
            </w:pPr>
            <w:r w:rsidRPr="00D23213">
              <w:rPr>
                <w:rFonts w:asciiTheme="minorHAnsi" w:hAnsiTheme="minorHAnsi" w:cstheme="minorHAnsi"/>
                <w:sz w:val="20"/>
                <w:szCs w:val="20"/>
              </w:rPr>
              <w:t>2.1.1.3. Projekat Izgradnja prioritetne kanalizacione mreže</w:t>
            </w:r>
          </w:p>
        </w:tc>
        <w:tc>
          <w:tcPr>
            <w:tcW w:w="2970" w:type="dxa"/>
            <w:gridSpan w:val="2"/>
            <w:tcBorders>
              <w:left w:val="single" w:sz="4" w:space="0" w:color="000000"/>
              <w:right w:val="single" w:sz="4" w:space="0" w:color="000000"/>
            </w:tcBorders>
            <w:vAlign w:val="center"/>
          </w:tcPr>
          <w:p w14:paraId="3003521E" w14:textId="516D2BC5" w:rsidR="00F04B11" w:rsidRPr="00D23213" w:rsidRDefault="00D57F3B" w:rsidP="00F04B11">
            <w:pPr>
              <w:rPr>
                <w:rFonts w:asciiTheme="minorHAnsi" w:hAnsiTheme="minorHAnsi" w:cstheme="minorHAnsi"/>
                <w:b/>
                <w:noProof/>
                <w:sz w:val="20"/>
                <w:szCs w:val="20"/>
                <w:lang w:val="bs-Latn-BA"/>
              </w:rPr>
            </w:pPr>
            <w:r w:rsidRPr="00D23213">
              <w:rPr>
                <w:rFonts w:asciiTheme="minorHAnsi" w:hAnsiTheme="minorHAnsi" w:cstheme="minorHAnsi"/>
                <w:bCs/>
                <w:sz w:val="20"/>
                <w:szCs w:val="20"/>
              </w:rPr>
              <w:t xml:space="preserve">Unapređena kanalizaciona mreža u prioritetnim lokalitetima do </w:t>
            </w:r>
            <w:r w:rsidRPr="00D23213">
              <w:rPr>
                <w:rFonts w:asciiTheme="minorHAnsi" w:hAnsiTheme="minorHAnsi" w:cstheme="minorHAnsi"/>
                <w:bCs/>
                <w:sz w:val="20"/>
                <w:szCs w:val="20"/>
              </w:rPr>
              <w:lastRenderedPageBreak/>
              <w:t>2020. godine (sliv potoka Radulovac)</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7211A8" w14:textId="77777777" w:rsidR="00F04B11" w:rsidRPr="00D23213" w:rsidRDefault="00F04B11" w:rsidP="00F04B11">
            <w:pPr>
              <w:spacing w:before="120"/>
              <w:jc w:val="center"/>
              <w:rPr>
                <w:rFonts w:asciiTheme="minorHAnsi" w:hAnsiTheme="minorHAnsi" w:cstheme="minorHAnsi"/>
                <w:noProof/>
                <w:sz w:val="20"/>
                <w:szCs w:val="20"/>
                <w:lang w:val="bs-Latn-BA"/>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51C1BD1" w14:textId="77777777" w:rsidR="00F04B11" w:rsidRPr="00D23213" w:rsidRDefault="00F04B11" w:rsidP="00F04B11">
            <w:pPr>
              <w:spacing w:before="120"/>
              <w:jc w:val="center"/>
              <w:rPr>
                <w:rFonts w:asciiTheme="minorHAnsi" w:hAnsiTheme="minorHAnsi" w:cstheme="minorHAnsi"/>
                <w:noProof/>
                <w:sz w:val="20"/>
                <w:szCs w:val="20"/>
                <w:lang w:val="bs-Latn-BA"/>
              </w:rPr>
            </w:pP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32640D33" w14:textId="0CA251CE" w:rsidR="00F04B11" w:rsidRPr="00D23213" w:rsidRDefault="00E35C13"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1,600,000</w:t>
            </w:r>
          </w:p>
        </w:tc>
      </w:tr>
      <w:tr w:rsidR="00F04B11" w:rsidRPr="00D23213" w14:paraId="3F7C660D" w14:textId="77777777" w:rsidTr="000B6E58">
        <w:trPr>
          <w:trHeight w:val="213"/>
          <w:jc w:val="center"/>
        </w:trPr>
        <w:tc>
          <w:tcPr>
            <w:tcW w:w="1754" w:type="dxa"/>
            <w:vMerge/>
            <w:tcBorders>
              <w:left w:val="single" w:sz="4" w:space="0" w:color="000000"/>
              <w:right w:val="single" w:sz="4" w:space="0" w:color="000000"/>
            </w:tcBorders>
            <w:shd w:val="clear" w:color="auto" w:fill="DEEAF6"/>
            <w:vAlign w:val="center"/>
          </w:tcPr>
          <w:p w14:paraId="1A5CE5DF" w14:textId="77777777" w:rsidR="00F04B11" w:rsidRPr="00D23213" w:rsidRDefault="00F04B11" w:rsidP="00F04B11">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78EB534E" w14:textId="300DCBD0" w:rsidR="00F04B11" w:rsidRPr="00D23213" w:rsidRDefault="00D57F3B" w:rsidP="00F04B11">
            <w:pPr>
              <w:rPr>
                <w:rFonts w:asciiTheme="minorHAnsi" w:hAnsiTheme="minorHAnsi" w:cstheme="minorHAnsi"/>
                <w:b/>
                <w:noProof/>
                <w:sz w:val="20"/>
                <w:szCs w:val="20"/>
                <w:lang w:val="bs-Latn-BA"/>
              </w:rPr>
            </w:pPr>
            <w:r w:rsidRPr="00D23213">
              <w:rPr>
                <w:rFonts w:asciiTheme="minorHAnsi" w:hAnsiTheme="minorHAnsi" w:cstheme="minorHAnsi"/>
                <w:sz w:val="20"/>
                <w:szCs w:val="20"/>
              </w:rPr>
              <w:t>2.1.1.4. Projekat Rekonstrukcija prioritetne niskonaponske elektromreže</w:t>
            </w:r>
          </w:p>
        </w:tc>
        <w:tc>
          <w:tcPr>
            <w:tcW w:w="2970" w:type="dxa"/>
            <w:gridSpan w:val="2"/>
            <w:tcBorders>
              <w:left w:val="single" w:sz="4" w:space="0" w:color="000000"/>
              <w:right w:val="single" w:sz="4" w:space="0" w:color="000000"/>
            </w:tcBorders>
            <w:vAlign w:val="center"/>
          </w:tcPr>
          <w:p w14:paraId="76E7D97C" w14:textId="5B98128F" w:rsidR="00F04B11" w:rsidRPr="00D23213" w:rsidRDefault="00D57F3B" w:rsidP="00F04B11">
            <w:pPr>
              <w:rPr>
                <w:rFonts w:asciiTheme="minorHAnsi" w:hAnsiTheme="minorHAnsi" w:cstheme="minorHAnsi"/>
                <w:b/>
                <w:noProof/>
                <w:sz w:val="20"/>
                <w:szCs w:val="20"/>
                <w:lang w:val="bs-Latn-BA"/>
              </w:rPr>
            </w:pPr>
            <w:r w:rsidRPr="00D23213">
              <w:rPr>
                <w:rFonts w:asciiTheme="minorHAnsi" w:hAnsiTheme="minorHAnsi" w:cstheme="minorHAnsi"/>
                <w:bCs/>
                <w:sz w:val="20"/>
                <w:szCs w:val="20"/>
              </w:rPr>
              <w:t>Poboljšano snabdijevanje el. energijom u naseljima ...</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8F5785" w14:textId="4A291351" w:rsidR="00F04B11" w:rsidRPr="00D23213" w:rsidRDefault="00E35C13"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11D4B55" w14:textId="79D3B8DF" w:rsidR="00F04B11" w:rsidRPr="00D23213" w:rsidRDefault="00E35C13"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1,950,000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2BDFB055" w14:textId="0673BB5D" w:rsidR="00F04B11" w:rsidRPr="00D23213" w:rsidRDefault="00E35C13" w:rsidP="00F04B11">
            <w:pPr>
              <w:spacing w:before="120"/>
              <w:jc w:val="cente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bs-Latn-BA"/>
              </w:rPr>
              <w:t>1,950,000</w:t>
            </w:r>
          </w:p>
        </w:tc>
      </w:tr>
      <w:tr w:rsidR="00F04B11" w:rsidRPr="00D23213" w14:paraId="7A078006" w14:textId="77777777" w:rsidTr="000B6E58">
        <w:trPr>
          <w:trHeight w:val="213"/>
          <w:jc w:val="center"/>
        </w:trPr>
        <w:tc>
          <w:tcPr>
            <w:tcW w:w="1754" w:type="dxa"/>
            <w:vMerge/>
            <w:tcBorders>
              <w:left w:val="single" w:sz="4" w:space="0" w:color="000000"/>
              <w:right w:val="single" w:sz="4" w:space="0" w:color="000000"/>
            </w:tcBorders>
            <w:shd w:val="clear" w:color="auto" w:fill="DEEAF6"/>
            <w:vAlign w:val="center"/>
          </w:tcPr>
          <w:p w14:paraId="2263CAE7" w14:textId="77777777" w:rsidR="00F04B11" w:rsidRPr="00D23213" w:rsidRDefault="00F04B11" w:rsidP="00F04B11">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696BD303" w14:textId="0F1D502F" w:rsidR="00F04B11" w:rsidRPr="00D23213" w:rsidRDefault="00D57F3B" w:rsidP="00F04B11">
            <w:pPr>
              <w:rPr>
                <w:rFonts w:asciiTheme="minorHAnsi" w:hAnsiTheme="minorHAnsi" w:cstheme="minorHAnsi"/>
                <w:noProof/>
                <w:sz w:val="20"/>
                <w:szCs w:val="20"/>
                <w:lang w:val="bs-Latn-BA"/>
              </w:rPr>
            </w:pPr>
            <w:r w:rsidRPr="00D23213">
              <w:rPr>
                <w:rFonts w:asciiTheme="minorHAnsi" w:hAnsiTheme="minorHAnsi" w:cstheme="minorHAnsi"/>
                <w:sz w:val="20"/>
                <w:szCs w:val="20"/>
              </w:rPr>
              <w:t xml:space="preserve">2.1.1.5. Projekat Sanacija klizišta na području opštine u skladu sa prioritetima </w:t>
            </w:r>
          </w:p>
        </w:tc>
        <w:tc>
          <w:tcPr>
            <w:tcW w:w="2970" w:type="dxa"/>
            <w:gridSpan w:val="2"/>
            <w:tcBorders>
              <w:left w:val="single" w:sz="4" w:space="0" w:color="000000"/>
              <w:right w:val="single" w:sz="4" w:space="0" w:color="000000"/>
            </w:tcBorders>
            <w:vAlign w:val="center"/>
          </w:tcPr>
          <w:p w14:paraId="688B04C9" w14:textId="2989F4D7" w:rsidR="00F04B11" w:rsidRPr="00D23213" w:rsidRDefault="00D57F3B" w:rsidP="00F04B11">
            <w:pPr>
              <w:rPr>
                <w:rFonts w:asciiTheme="minorHAnsi" w:hAnsiTheme="minorHAnsi" w:cstheme="minorHAnsi"/>
                <w:b/>
                <w:noProof/>
                <w:sz w:val="20"/>
                <w:szCs w:val="20"/>
                <w:lang w:val="bs-Latn-BA"/>
              </w:rPr>
            </w:pPr>
            <w:r w:rsidRPr="00D23213">
              <w:rPr>
                <w:rFonts w:asciiTheme="minorHAnsi" w:hAnsiTheme="minorHAnsi" w:cstheme="minorHAnsi"/>
                <w:noProof/>
                <w:sz w:val="20"/>
                <w:szCs w:val="20"/>
              </w:rPr>
              <w:t>Smanjen broj klizišta na području opštine za X</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438609" w14:textId="1DF33718" w:rsidR="00F04B11" w:rsidRPr="00D23213" w:rsidRDefault="00E35C13"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300,000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179DA25" w14:textId="6BF95F5D" w:rsidR="00F04B11" w:rsidRPr="00D23213" w:rsidRDefault="00E35C13" w:rsidP="00F04B11">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0AB26CE0" w14:textId="58CC5D1B" w:rsidR="00F04B11" w:rsidRPr="00D23213" w:rsidRDefault="00E35C13" w:rsidP="00F04B11">
            <w:pPr>
              <w:spacing w:before="120"/>
              <w:jc w:val="cente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bs-Latn-BA"/>
              </w:rPr>
              <w:t>300,000</w:t>
            </w:r>
          </w:p>
        </w:tc>
      </w:tr>
      <w:bookmarkEnd w:id="64"/>
      <w:tr w:rsidR="00D57F3B" w:rsidRPr="00D23213" w14:paraId="63742B23" w14:textId="77777777" w:rsidTr="00DF6735">
        <w:trPr>
          <w:trHeight w:val="787"/>
          <w:jc w:val="center"/>
        </w:trPr>
        <w:tc>
          <w:tcPr>
            <w:tcW w:w="1754" w:type="dxa"/>
            <w:tcBorders>
              <w:left w:val="single" w:sz="4" w:space="0" w:color="000000"/>
              <w:right w:val="single" w:sz="4" w:space="0" w:color="000000"/>
            </w:tcBorders>
            <w:shd w:val="clear" w:color="auto" w:fill="8EAADB"/>
            <w:vAlign w:val="center"/>
          </w:tcPr>
          <w:p w14:paraId="2C807A31" w14:textId="5CEADCE4" w:rsidR="00D57F3B" w:rsidRPr="00D23213" w:rsidRDefault="00D57F3B" w:rsidP="00DF6735">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2.2. Sektorski cilj</w:t>
            </w:r>
          </w:p>
        </w:tc>
        <w:tc>
          <w:tcPr>
            <w:tcW w:w="3757" w:type="dxa"/>
            <w:tcBorders>
              <w:left w:val="single" w:sz="4" w:space="0" w:color="000000"/>
              <w:right w:val="single" w:sz="4" w:space="0" w:color="000000"/>
            </w:tcBorders>
            <w:vAlign w:val="center"/>
          </w:tcPr>
          <w:p w14:paraId="57DC7CE5" w14:textId="0E0F5156" w:rsidR="00D57F3B" w:rsidRPr="00D23213" w:rsidRDefault="00D57F3B" w:rsidP="00DF6735">
            <w:pPr>
              <w:rPr>
                <w:rFonts w:asciiTheme="minorHAnsi" w:hAnsiTheme="minorHAnsi" w:cstheme="minorHAnsi"/>
                <w:b/>
                <w:noProof/>
                <w:color w:val="FF0000"/>
                <w:sz w:val="20"/>
                <w:szCs w:val="20"/>
                <w:lang w:val="bs-Latn-BA"/>
              </w:rPr>
            </w:pPr>
            <w:r w:rsidRPr="00D23213">
              <w:rPr>
                <w:rFonts w:asciiTheme="minorHAnsi" w:hAnsiTheme="minorHAnsi" w:cstheme="minorHAnsi"/>
                <w:b/>
                <w:bCs/>
                <w:sz w:val="20"/>
                <w:szCs w:val="20"/>
              </w:rPr>
              <w:t>U</w:t>
            </w:r>
            <w:r w:rsidRPr="00D23213">
              <w:rPr>
                <w:rFonts w:asciiTheme="minorHAnsi" w:hAnsiTheme="minorHAnsi" w:cstheme="minorHAnsi"/>
                <w:b/>
                <w:bCs/>
                <w:sz w:val="20"/>
                <w:szCs w:val="20"/>
                <w:lang w:val="sr-Cyrl-CS"/>
              </w:rPr>
              <w:t>naprije</w:t>
            </w:r>
            <w:r w:rsidRPr="00D23213">
              <w:rPr>
                <w:rFonts w:asciiTheme="minorHAnsi" w:hAnsiTheme="minorHAnsi" w:cstheme="minorHAnsi"/>
                <w:b/>
                <w:bCs/>
                <w:sz w:val="20"/>
                <w:szCs w:val="20"/>
              </w:rPr>
              <w:t>đena</w:t>
            </w:r>
            <w:r w:rsidRPr="00D23213">
              <w:rPr>
                <w:rFonts w:asciiTheme="minorHAnsi" w:hAnsiTheme="minorHAnsi" w:cstheme="minorHAnsi"/>
                <w:b/>
                <w:bCs/>
                <w:sz w:val="20"/>
                <w:szCs w:val="20"/>
                <w:lang w:val="sr-Cyrl-CS"/>
              </w:rPr>
              <w:t xml:space="preserve"> </w:t>
            </w:r>
            <w:r w:rsidRPr="00D23213">
              <w:rPr>
                <w:rFonts w:asciiTheme="minorHAnsi" w:hAnsiTheme="minorHAnsi" w:cstheme="minorHAnsi"/>
                <w:b/>
                <w:bCs/>
                <w:sz w:val="20"/>
                <w:szCs w:val="20"/>
              </w:rPr>
              <w:t xml:space="preserve">obrazovna, </w:t>
            </w:r>
            <w:r w:rsidRPr="00D23213">
              <w:rPr>
                <w:rFonts w:asciiTheme="minorHAnsi" w:hAnsiTheme="minorHAnsi" w:cstheme="minorHAnsi"/>
                <w:b/>
                <w:bCs/>
                <w:sz w:val="20"/>
                <w:szCs w:val="20"/>
                <w:lang w:val="sr-Cyrl-CS"/>
              </w:rPr>
              <w:t>kulturn</w:t>
            </w:r>
            <w:r w:rsidRPr="00D23213">
              <w:rPr>
                <w:rFonts w:asciiTheme="minorHAnsi" w:hAnsiTheme="minorHAnsi" w:cstheme="minorHAnsi"/>
                <w:b/>
                <w:bCs/>
                <w:sz w:val="20"/>
                <w:szCs w:val="20"/>
              </w:rPr>
              <w:t xml:space="preserve">a i </w:t>
            </w:r>
            <w:r w:rsidRPr="00D23213">
              <w:rPr>
                <w:rFonts w:asciiTheme="minorHAnsi" w:hAnsiTheme="minorHAnsi" w:cstheme="minorHAnsi"/>
                <w:b/>
                <w:bCs/>
                <w:sz w:val="20"/>
                <w:szCs w:val="20"/>
                <w:lang w:val="sr-Cyrl-CS"/>
              </w:rPr>
              <w:t>sportsk</w:t>
            </w:r>
            <w:r w:rsidRPr="00D23213">
              <w:rPr>
                <w:rFonts w:asciiTheme="minorHAnsi" w:hAnsiTheme="minorHAnsi" w:cstheme="minorHAnsi"/>
                <w:b/>
                <w:bCs/>
                <w:sz w:val="20"/>
                <w:szCs w:val="20"/>
              </w:rPr>
              <w:t>a</w:t>
            </w:r>
            <w:r w:rsidRPr="00D23213">
              <w:rPr>
                <w:rFonts w:asciiTheme="minorHAnsi" w:hAnsiTheme="minorHAnsi" w:cstheme="minorHAnsi"/>
                <w:b/>
                <w:bCs/>
                <w:sz w:val="20"/>
                <w:szCs w:val="20"/>
                <w:lang w:val="sr-Cyrl-CS"/>
              </w:rPr>
              <w:t xml:space="preserve"> infrastruktur</w:t>
            </w:r>
            <w:r w:rsidRPr="00D23213">
              <w:rPr>
                <w:rFonts w:asciiTheme="minorHAnsi" w:hAnsiTheme="minorHAnsi" w:cstheme="minorHAnsi"/>
                <w:b/>
                <w:bCs/>
                <w:sz w:val="20"/>
                <w:szCs w:val="20"/>
              </w:rPr>
              <w:t>a do 2020. godine</w:t>
            </w:r>
          </w:p>
        </w:tc>
        <w:tc>
          <w:tcPr>
            <w:tcW w:w="1620" w:type="dxa"/>
            <w:tcBorders>
              <w:left w:val="single" w:sz="4" w:space="0" w:color="000000"/>
              <w:right w:val="single" w:sz="4" w:space="0" w:color="000000"/>
            </w:tcBorders>
            <w:shd w:val="clear" w:color="auto" w:fill="8EAADB"/>
            <w:vAlign w:val="center"/>
          </w:tcPr>
          <w:p w14:paraId="40B047E4" w14:textId="77777777" w:rsidR="00D57F3B" w:rsidRPr="00D23213" w:rsidRDefault="00D57F3B" w:rsidP="00DF6735">
            <w:pPr>
              <w:spacing w:before="40"/>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14:paraId="2D3D5D63" w14:textId="77777777" w:rsidR="00D57F3B" w:rsidRPr="00D23213" w:rsidRDefault="00D57F3B" w:rsidP="00D57F3B">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Do 2020. godine najmanje 50% učenika srednjih i 50% učenika osnovnih škola pohađa nastavu u uslovima koji su unapređeni u odnosu na 2017. godinu</w:t>
            </w:r>
          </w:p>
          <w:p w14:paraId="26345750" w14:textId="77777777" w:rsidR="00D57F3B" w:rsidRPr="00D23213" w:rsidRDefault="00D57F3B" w:rsidP="00D57F3B">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Povećan broj kulturnih i sportskih događaja za 10% godišnje</w:t>
            </w:r>
          </w:p>
          <w:p w14:paraId="41066251" w14:textId="77777777" w:rsidR="00D57F3B" w:rsidRPr="00D23213" w:rsidRDefault="00D57F3B" w:rsidP="00D57F3B">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Povećan broj aktivnih članova kulturnih i sportskih društava za 5% godišnje</w:t>
            </w:r>
          </w:p>
          <w:p w14:paraId="4E23CAC7" w14:textId="2CF6977E" w:rsidR="00D57F3B" w:rsidRPr="00D23213" w:rsidRDefault="00D57F3B" w:rsidP="00D57F3B">
            <w:pPr>
              <w:numPr>
                <w:ilvl w:val="0"/>
                <w:numId w:val="27"/>
              </w:numPr>
              <w:tabs>
                <w:tab w:val="clear" w:pos="720"/>
              </w:tabs>
              <w:ind w:left="269" w:hanging="269"/>
              <w:jc w:val="both"/>
              <w:rPr>
                <w:rFonts w:asciiTheme="minorHAnsi" w:hAnsiTheme="minorHAnsi" w:cstheme="minorHAnsi"/>
                <w:noProof/>
                <w:color w:val="FF0000"/>
                <w:sz w:val="20"/>
                <w:szCs w:val="20"/>
                <w:lang w:val="bs-Latn-BA"/>
              </w:rPr>
            </w:pPr>
            <w:r w:rsidRPr="00D23213">
              <w:rPr>
                <w:rFonts w:asciiTheme="minorHAnsi" w:hAnsiTheme="minorHAnsi" w:cstheme="minorHAnsi"/>
                <w:noProof/>
                <w:sz w:val="20"/>
                <w:szCs w:val="20"/>
                <w:lang w:val="sr-Cyrl-CS"/>
              </w:rPr>
              <w:t>Relevantne ciljne grupe građana zadovoljne uređenjem centralnog spomen obilježja do 2020.</w:t>
            </w:r>
          </w:p>
        </w:tc>
        <w:tc>
          <w:tcPr>
            <w:tcW w:w="1170" w:type="dxa"/>
            <w:tcBorders>
              <w:top w:val="single" w:sz="4" w:space="0" w:color="000000"/>
              <w:left w:val="single" w:sz="4" w:space="0" w:color="000000"/>
              <w:right w:val="single" w:sz="4" w:space="0" w:color="000000"/>
            </w:tcBorders>
            <w:shd w:val="clear" w:color="auto" w:fill="8EAADB"/>
            <w:vAlign w:val="center"/>
          </w:tcPr>
          <w:p w14:paraId="4E2724C3" w14:textId="77777777" w:rsidR="00D57F3B" w:rsidRPr="00D23213" w:rsidRDefault="00D57F3B" w:rsidP="00DF6735">
            <w:pPr>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vAlign w:val="center"/>
          </w:tcPr>
          <w:p w14:paraId="607C0E96" w14:textId="77777777" w:rsidR="00D57F3B" w:rsidRPr="00D23213" w:rsidRDefault="00D57F3B" w:rsidP="00D57F3B">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 xml:space="preserve">Broj učenika srednjih osnovnih škola koji pohađaju nastavu u unapređenim uslovima </w:t>
            </w:r>
          </w:p>
          <w:p w14:paraId="12486E9B" w14:textId="77777777" w:rsidR="00D57F3B" w:rsidRPr="00D23213" w:rsidRDefault="00D57F3B" w:rsidP="00D57F3B">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Broj kulturnih i sportskih događaja</w:t>
            </w:r>
          </w:p>
          <w:p w14:paraId="7FC7E92D" w14:textId="77777777" w:rsidR="00D57F3B" w:rsidRPr="00D23213" w:rsidRDefault="00D57F3B" w:rsidP="00D57F3B">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Broj aktivnih članova kulturnih i sportskih društava</w:t>
            </w:r>
          </w:p>
          <w:p w14:paraId="2B43CF4B" w14:textId="33495E62" w:rsidR="00D57F3B" w:rsidRPr="00D23213" w:rsidRDefault="00D57F3B" w:rsidP="00D57F3B">
            <w:pPr>
              <w:numPr>
                <w:ilvl w:val="0"/>
                <w:numId w:val="27"/>
              </w:numPr>
              <w:tabs>
                <w:tab w:val="clear" w:pos="720"/>
              </w:tabs>
              <w:ind w:left="269" w:hanging="269"/>
              <w:jc w:val="both"/>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sr-Cyrl-CS"/>
              </w:rPr>
              <w:t>Stepen zadovoljstva relevantnih ciljnih grupa građana uređenjem centralnog spomen obilježja</w:t>
            </w:r>
          </w:p>
        </w:tc>
      </w:tr>
      <w:tr w:rsidR="00FE47AD" w:rsidRPr="00D23213" w14:paraId="67587A49" w14:textId="77777777" w:rsidTr="00DF6735">
        <w:trPr>
          <w:trHeight w:val="213"/>
          <w:jc w:val="center"/>
        </w:trPr>
        <w:tc>
          <w:tcPr>
            <w:tcW w:w="1754" w:type="dxa"/>
            <w:vMerge w:val="restart"/>
            <w:tcBorders>
              <w:left w:val="single" w:sz="4" w:space="0" w:color="000000"/>
              <w:right w:val="single" w:sz="4" w:space="0" w:color="000000"/>
            </w:tcBorders>
            <w:shd w:val="clear" w:color="auto" w:fill="DEEAF6"/>
            <w:vAlign w:val="center"/>
          </w:tcPr>
          <w:p w14:paraId="7AA7D513" w14:textId="29EE9264" w:rsidR="00FE47AD" w:rsidRPr="00D23213" w:rsidRDefault="00FE47AD" w:rsidP="00DF6735">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2.2.1.Program</w:t>
            </w:r>
          </w:p>
        </w:tc>
        <w:tc>
          <w:tcPr>
            <w:tcW w:w="12233" w:type="dxa"/>
            <w:gridSpan w:val="8"/>
            <w:tcBorders>
              <w:left w:val="single" w:sz="4" w:space="0" w:color="000000"/>
              <w:right w:val="single" w:sz="4" w:space="0" w:color="000000"/>
            </w:tcBorders>
            <w:vAlign w:val="center"/>
          </w:tcPr>
          <w:p w14:paraId="13A6214E" w14:textId="22161A1E" w:rsidR="00FE47AD" w:rsidRPr="00D23213" w:rsidRDefault="00FE47AD" w:rsidP="00DF6735">
            <w:pPr>
              <w:spacing w:before="120"/>
              <w:jc w:val="center"/>
              <w:rPr>
                <w:rFonts w:asciiTheme="minorHAnsi" w:hAnsiTheme="minorHAnsi" w:cstheme="minorHAnsi"/>
                <w:b/>
                <w:noProof/>
                <w:color w:val="FF0000"/>
                <w:sz w:val="20"/>
                <w:szCs w:val="20"/>
                <w:lang w:val="bs-Latn-BA"/>
              </w:rPr>
            </w:pPr>
            <w:r w:rsidRPr="00D23213">
              <w:rPr>
                <w:rFonts w:asciiTheme="minorHAnsi" w:hAnsiTheme="minorHAnsi" w:cstheme="minorHAnsi"/>
                <w:b/>
                <w:sz w:val="20"/>
                <w:szCs w:val="20"/>
              </w:rPr>
              <w:t>Poboljšanje uslova za kulturne i sportske aktivnosti</w:t>
            </w:r>
          </w:p>
        </w:tc>
      </w:tr>
      <w:tr w:rsidR="00FE47AD" w:rsidRPr="00D23213" w14:paraId="32005A80" w14:textId="77777777" w:rsidTr="00DF6735">
        <w:trPr>
          <w:trHeight w:val="213"/>
          <w:jc w:val="center"/>
        </w:trPr>
        <w:tc>
          <w:tcPr>
            <w:tcW w:w="1754" w:type="dxa"/>
            <w:vMerge/>
            <w:tcBorders>
              <w:left w:val="single" w:sz="4" w:space="0" w:color="000000"/>
              <w:right w:val="single" w:sz="4" w:space="0" w:color="000000"/>
            </w:tcBorders>
            <w:shd w:val="clear" w:color="auto" w:fill="DEEAF6"/>
            <w:vAlign w:val="center"/>
          </w:tcPr>
          <w:p w14:paraId="48583143" w14:textId="77777777" w:rsidR="00FE47AD" w:rsidRPr="00D23213" w:rsidRDefault="00FE47AD" w:rsidP="00DF6735">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7A66C302" w14:textId="7AA62700" w:rsidR="00FE47AD" w:rsidRPr="00D23213" w:rsidRDefault="00FE47AD" w:rsidP="00DF6735">
            <w:pPr>
              <w:rPr>
                <w:rFonts w:asciiTheme="minorHAnsi" w:hAnsiTheme="minorHAnsi" w:cstheme="minorHAnsi"/>
                <w:noProof/>
                <w:sz w:val="20"/>
                <w:szCs w:val="20"/>
                <w:lang w:val="bs-Latn-BA"/>
              </w:rPr>
            </w:pPr>
            <w:r w:rsidRPr="00D23213">
              <w:rPr>
                <w:rFonts w:asciiTheme="minorHAnsi" w:hAnsiTheme="minorHAnsi" w:cstheme="minorHAnsi"/>
                <w:sz w:val="20"/>
                <w:szCs w:val="20"/>
              </w:rPr>
              <w:t>2.2.1.1. Projekat Festival nacionalnih manjina opštine Prnjavor Mala Evropa</w:t>
            </w:r>
          </w:p>
        </w:tc>
        <w:tc>
          <w:tcPr>
            <w:tcW w:w="2970" w:type="dxa"/>
            <w:gridSpan w:val="2"/>
            <w:tcBorders>
              <w:left w:val="single" w:sz="4" w:space="0" w:color="000000"/>
              <w:right w:val="single" w:sz="4" w:space="0" w:color="000000"/>
            </w:tcBorders>
            <w:vAlign w:val="center"/>
          </w:tcPr>
          <w:p w14:paraId="3F6A1524" w14:textId="77777777" w:rsidR="00FE47AD" w:rsidRPr="00D23213" w:rsidRDefault="00FE47AD" w:rsidP="00D57F3B">
            <w:pPr>
              <w:rPr>
                <w:rFonts w:asciiTheme="minorHAnsi" w:hAnsiTheme="minorHAnsi" w:cstheme="minorHAnsi"/>
                <w:bCs/>
                <w:sz w:val="20"/>
                <w:szCs w:val="20"/>
              </w:rPr>
            </w:pPr>
            <w:r w:rsidRPr="00D23213">
              <w:rPr>
                <w:rFonts w:asciiTheme="minorHAnsi" w:hAnsiTheme="minorHAnsi" w:cstheme="minorHAnsi"/>
                <w:bCs/>
                <w:sz w:val="20"/>
                <w:szCs w:val="20"/>
              </w:rPr>
              <w:t>Najmanje 200 učesnika iz najmanje 5 zemalja</w:t>
            </w:r>
          </w:p>
          <w:p w14:paraId="5E0D11F8" w14:textId="63B9DEB7" w:rsidR="00FE47AD" w:rsidRPr="00D23213" w:rsidRDefault="00FE47AD" w:rsidP="00D57F3B">
            <w:pPr>
              <w:rPr>
                <w:rFonts w:asciiTheme="minorHAnsi" w:hAnsiTheme="minorHAnsi" w:cstheme="minorHAnsi"/>
                <w:b/>
                <w:noProof/>
                <w:sz w:val="20"/>
                <w:szCs w:val="20"/>
                <w:lang w:val="bs-Latn-BA"/>
              </w:rPr>
            </w:pPr>
            <w:r w:rsidRPr="00D23213">
              <w:rPr>
                <w:rFonts w:asciiTheme="minorHAnsi" w:hAnsiTheme="minorHAnsi" w:cstheme="minorHAnsi"/>
                <w:bCs/>
                <w:sz w:val="20"/>
                <w:szCs w:val="20"/>
              </w:rPr>
              <w:t>Najmanje 500 posjetilaca</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7731C2" w14:textId="21AA52A7" w:rsidR="00FE47AD" w:rsidRPr="00D23213" w:rsidRDefault="00E35C13" w:rsidP="00DF6735">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30,000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5BCB114" w14:textId="500CC82A" w:rsidR="00FE47AD" w:rsidRPr="00D23213" w:rsidRDefault="00E35C13" w:rsidP="00DF6735">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02E1F854" w14:textId="33441ABB" w:rsidR="00FE47AD" w:rsidRPr="00D23213" w:rsidRDefault="00E35C13" w:rsidP="00DF6735">
            <w:pPr>
              <w:spacing w:before="120"/>
              <w:jc w:val="cente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bs-Latn-BA"/>
              </w:rPr>
              <w:t>30,000</w:t>
            </w:r>
          </w:p>
        </w:tc>
      </w:tr>
      <w:tr w:rsidR="00FE47AD" w:rsidRPr="00D23213" w14:paraId="432AC181" w14:textId="77777777" w:rsidTr="00DF6735">
        <w:trPr>
          <w:trHeight w:val="213"/>
          <w:jc w:val="center"/>
        </w:trPr>
        <w:tc>
          <w:tcPr>
            <w:tcW w:w="1754" w:type="dxa"/>
            <w:vMerge/>
            <w:tcBorders>
              <w:left w:val="single" w:sz="4" w:space="0" w:color="000000"/>
              <w:right w:val="single" w:sz="4" w:space="0" w:color="000000"/>
            </w:tcBorders>
            <w:shd w:val="clear" w:color="auto" w:fill="DEEAF6"/>
            <w:vAlign w:val="center"/>
          </w:tcPr>
          <w:p w14:paraId="529CABE1" w14:textId="77777777" w:rsidR="00FE47AD" w:rsidRPr="00D23213" w:rsidRDefault="00FE47AD" w:rsidP="00DF6735">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5F7ABD3D" w14:textId="0B2F851A" w:rsidR="00FE47AD" w:rsidRPr="00D23213" w:rsidRDefault="00FE47AD" w:rsidP="00DF6735">
            <w:pPr>
              <w:rPr>
                <w:rFonts w:asciiTheme="minorHAnsi" w:hAnsiTheme="minorHAnsi" w:cstheme="minorHAnsi"/>
                <w:noProof/>
                <w:sz w:val="20"/>
                <w:szCs w:val="20"/>
                <w:lang w:val="bs-Latn-BA"/>
              </w:rPr>
            </w:pPr>
            <w:r w:rsidRPr="00D23213">
              <w:rPr>
                <w:rFonts w:asciiTheme="minorHAnsi" w:hAnsiTheme="minorHAnsi" w:cstheme="minorHAnsi"/>
                <w:sz w:val="20"/>
                <w:szCs w:val="20"/>
              </w:rPr>
              <w:t>2.2.1.2. Mjera: Podrška održavanju tradicionalnih manifestacija u ruralnim područjima</w:t>
            </w:r>
          </w:p>
        </w:tc>
        <w:tc>
          <w:tcPr>
            <w:tcW w:w="2970" w:type="dxa"/>
            <w:gridSpan w:val="2"/>
            <w:tcBorders>
              <w:left w:val="single" w:sz="4" w:space="0" w:color="000000"/>
              <w:right w:val="single" w:sz="4" w:space="0" w:color="000000"/>
            </w:tcBorders>
            <w:vAlign w:val="center"/>
          </w:tcPr>
          <w:p w14:paraId="64AA4594" w14:textId="77777777" w:rsidR="00FE47AD" w:rsidRPr="00D23213" w:rsidRDefault="00FE47AD" w:rsidP="00D57F3B">
            <w:pPr>
              <w:rPr>
                <w:rFonts w:asciiTheme="minorHAnsi" w:hAnsiTheme="minorHAnsi" w:cstheme="minorHAnsi"/>
                <w:sz w:val="20"/>
                <w:szCs w:val="20"/>
              </w:rPr>
            </w:pPr>
            <w:r w:rsidRPr="00D23213">
              <w:rPr>
                <w:rFonts w:asciiTheme="minorHAnsi" w:hAnsiTheme="minorHAnsi" w:cstheme="minorHAnsi"/>
                <w:bCs/>
                <w:sz w:val="20"/>
                <w:szCs w:val="20"/>
              </w:rPr>
              <w:t xml:space="preserve">Najmanje 50 učesnika </w:t>
            </w:r>
            <w:r w:rsidRPr="00D23213">
              <w:rPr>
                <w:rFonts w:asciiTheme="minorHAnsi" w:hAnsiTheme="minorHAnsi" w:cstheme="minorHAnsi"/>
                <w:sz w:val="20"/>
                <w:szCs w:val="20"/>
              </w:rPr>
              <w:t>tradicionalnih manifestacija u ruralnim područjima</w:t>
            </w:r>
          </w:p>
          <w:p w14:paraId="02BAB996" w14:textId="733C33F3" w:rsidR="00FE47AD" w:rsidRPr="00D23213" w:rsidRDefault="00FE47AD" w:rsidP="00D57F3B">
            <w:pPr>
              <w:rPr>
                <w:rFonts w:asciiTheme="minorHAnsi" w:hAnsiTheme="minorHAnsi" w:cstheme="minorHAnsi"/>
                <w:b/>
                <w:noProof/>
                <w:sz w:val="20"/>
                <w:szCs w:val="20"/>
                <w:lang w:val="bs-Latn-BA"/>
              </w:rPr>
            </w:pPr>
            <w:r w:rsidRPr="00D23213">
              <w:rPr>
                <w:rFonts w:asciiTheme="minorHAnsi" w:hAnsiTheme="minorHAnsi" w:cstheme="minorHAnsi"/>
                <w:bCs/>
                <w:sz w:val="20"/>
                <w:szCs w:val="20"/>
              </w:rPr>
              <w:t>Najmanje 100 posjetilaca/gledalaca</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6E5C99" w14:textId="36343AF2" w:rsidR="00FE47AD" w:rsidRPr="00D23213" w:rsidRDefault="00576683" w:rsidP="00DF6735">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105,000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4E340C3" w14:textId="3409B17C" w:rsidR="00FE47AD" w:rsidRPr="00D23213" w:rsidRDefault="00576683" w:rsidP="00DF6735">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0D3847E5" w14:textId="3CAC2B66" w:rsidR="00FE47AD" w:rsidRPr="00D23213" w:rsidRDefault="00576683" w:rsidP="00DF6735">
            <w:pPr>
              <w:spacing w:before="120"/>
              <w:jc w:val="cente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bs-Latn-BA"/>
              </w:rPr>
              <w:t>105,000</w:t>
            </w:r>
          </w:p>
        </w:tc>
      </w:tr>
      <w:tr w:rsidR="00FE47AD" w:rsidRPr="00D23213" w14:paraId="607650F7" w14:textId="77777777" w:rsidTr="00833AD5">
        <w:trPr>
          <w:trHeight w:val="213"/>
          <w:jc w:val="center"/>
        </w:trPr>
        <w:tc>
          <w:tcPr>
            <w:tcW w:w="1754" w:type="dxa"/>
            <w:vMerge/>
            <w:tcBorders>
              <w:left w:val="single" w:sz="4" w:space="0" w:color="000000"/>
              <w:right w:val="single" w:sz="4" w:space="0" w:color="000000"/>
            </w:tcBorders>
            <w:shd w:val="clear" w:color="auto" w:fill="DEEAF6"/>
            <w:vAlign w:val="center"/>
          </w:tcPr>
          <w:p w14:paraId="5A4E5D3C" w14:textId="77777777" w:rsidR="00FE47AD" w:rsidRPr="00D23213" w:rsidRDefault="00FE47AD" w:rsidP="00D57F3B">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0B5BABCE" w14:textId="26074A24" w:rsidR="00FE47AD" w:rsidRPr="00D23213" w:rsidRDefault="00FE47AD" w:rsidP="00D57F3B">
            <w:pPr>
              <w:rPr>
                <w:rFonts w:asciiTheme="minorHAnsi" w:hAnsiTheme="minorHAnsi" w:cstheme="minorHAnsi"/>
                <w:b/>
                <w:noProof/>
                <w:sz w:val="20"/>
                <w:szCs w:val="20"/>
                <w:lang w:val="bs-Latn-BA"/>
              </w:rPr>
            </w:pPr>
            <w:r w:rsidRPr="00D23213">
              <w:rPr>
                <w:rFonts w:asciiTheme="minorHAnsi" w:hAnsiTheme="minorHAnsi" w:cstheme="minorHAnsi"/>
                <w:sz w:val="20"/>
                <w:szCs w:val="20"/>
              </w:rPr>
              <w:t xml:space="preserve">2.2.1.3. Projekat Izrada Omladinske politike opštine Prnjavor </w:t>
            </w:r>
          </w:p>
        </w:tc>
        <w:tc>
          <w:tcPr>
            <w:tcW w:w="2970" w:type="dxa"/>
            <w:gridSpan w:val="2"/>
            <w:tcBorders>
              <w:left w:val="single" w:sz="4" w:space="0" w:color="000000"/>
              <w:right w:val="single" w:sz="4" w:space="0" w:color="000000"/>
            </w:tcBorders>
          </w:tcPr>
          <w:p w14:paraId="56DAAB9E" w14:textId="4D98C343" w:rsidR="00FE47AD" w:rsidRPr="00D23213" w:rsidRDefault="00FE47AD" w:rsidP="00D57F3B">
            <w:pPr>
              <w:rPr>
                <w:rFonts w:asciiTheme="minorHAnsi" w:hAnsiTheme="minorHAnsi" w:cstheme="minorHAnsi"/>
                <w:b/>
                <w:noProof/>
                <w:sz w:val="20"/>
                <w:szCs w:val="20"/>
                <w:lang w:val="bs-Latn-BA"/>
              </w:rPr>
            </w:pPr>
            <w:r w:rsidRPr="00D23213">
              <w:rPr>
                <w:rFonts w:asciiTheme="minorHAnsi" w:hAnsiTheme="minorHAnsi" w:cstheme="minorHAnsi"/>
                <w:noProof/>
                <w:sz w:val="20"/>
                <w:szCs w:val="20"/>
              </w:rPr>
              <w:t>Izrađen i usvojen dokument Omladinska politika</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F6A591" w14:textId="10803948" w:rsidR="00FE47AD" w:rsidRPr="00D23213" w:rsidRDefault="00576683" w:rsidP="00D57F3B">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5,000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A3A6500" w14:textId="22224631" w:rsidR="00FE47AD" w:rsidRPr="00D23213" w:rsidRDefault="00576683" w:rsidP="00D57F3B">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4D4162C0" w14:textId="7092038F" w:rsidR="00FE47AD" w:rsidRPr="00D23213" w:rsidRDefault="00576683" w:rsidP="00D57F3B">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5,000</w:t>
            </w:r>
          </w:p>
        </w:tc>
      </w:tr>
      <w:tr w:rsidR="00FE47AD" w:rsidRPr="00D23213" w14:paraId="35033FCD" w14:textId="77777777" w:rsidTr="00DF6735">
        <w:trPr>
          <w:trHeight w:val="213"/>
          <w:jc w:val="center"/>
        </w:trPr>
        <w:tc>
          <w:tcPr>
            <w:tcW w:w="1754" w:type="dxa"/>
            <w:vMerge/>
            <w:tcBorders>
              <w:left w:val="single" w:sz="4" w:space="0" w:color="000000"/>
              <w:right w:val="single" w:sz="4" w:space="0" w:color="000000"/>
            </w:tcBorders>
            <w:shd w:val="clear" w:color="auto" w:fill="DEEAF6"/>
            <w:vAlign w:val="center"/>
          </w:tcPr>
          <w:p w14:paraId="360CFF2E" w14:textId="77777777" w:rsidR="00FE47AD" w:rsidRPr="00D23213" w:rsidRDefault="00FE47AD" w:rsidP="00D57F3B">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2BA64D52" w14:textId="7A0D690E" w:rsidR="00FE47AD" w:rsidRPr="00D23213" w:rsidRDefault="00FE47AD" w:rsidP="00D57F3B">
            <w:pPr>
              <w:rPr>
                <w:rFonts w:asciiTheme="minorHAnsi" w:hAnsiTheme="minorHAnsi" w:cstheme="minorHAnsi"/>
                <w:b/>
                <w:noProof/>
                <w:sz w:val="20"/>
                <w:szCs w:val="20"/>
                <w:lang w:val="bs-Latn-BA"/>
              </w:rPr>
            </w:pPr>
            <w:r w:rsidRPr="00D23213">
              <w:rPr>
                <w:rFonts w:asciiTheme="minorHAnsi" w:hAnsiTheme="minorHAnsi" w:cstheme="minorHAnsi"/>
                <w:sz w:val="20"/>
                <w:szCs w:val="20"/>
              </w:rPr>
              <w:t>2.2.1.4. Projekat Unapređenje prioritetne školske infrastrukture na području opštine</w:t>
            </w:r>
          </w:p>
        </w:tc>
        <w:tc>
          <w:tcPr>
            <w:tcW w:w="2970" w:type="dxa"/>
            <w:gridSpan w:val="2"/>
            <w:tcBorders>
              <w:left w:val="single" w:sz="4" w:space="0" w:color="000000"/>
              <w:right w:val="single" w:sz="4" w:space="0" w:color="000000"/>
            </w:tcBorders>
            <w:vAlign w:val="center"/>
          </w:tcPr>
          <w:p w14:paraId="25F112D0" w14:textId="32942EBE" w:rsidR="00FE47AD" w:rsidRPr="00D23213" w:rsidRDefault="00FE47AD" w:rsidP="00D57F3B">
            <w:pPr>
              <w:rPr>
                <w:rFonts w:asciiTheme="minorHAnsi" w:hAnsiTheme="minorHAnsi" w:cstheme="minorHAnsi"/>
                <w:b/>
                <w:noProof/>
                <w:sz w:val="20"/>
                <w:szCs w:val="20"/>
                <w:lang w:val="bs-Latn-BA"/>
              </w:rPr>
            </w:pPr>
            <w:r w:rsidRPr="00D23213">
              <w:rPr>
                <w:rFonts w:asciiTheme="minorHAnsi" w:hAnsiTheme="minorHAnsi" w:cstheme="minorHAnsi"/>
                <w:noProof/>
                <w:sz w:val="20"/>
                <w:szCs w:val="20"/>
              </w:rPr>
              <w:t>Unapređeni uslovi za izvođenje nastave za najmanje X učenika</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6B8F1A" w14:textId="7A1FE701" w:rsidR="00FE47AD" w:rsidRPr="00D23213" w:rsidRDefault="00576683" w:rsidP="00D57F3B">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75,000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55DB49C" w14:textId="2553AAC6" w:rsidR="00FE47AD" w:rsidRPr="00D23213" w:rsidRDefault="00576683" w:rsidP="00D57F3B">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147,000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66E6882E" w14:textId="66B2EF1F" w:rsidR="00FE47AD" w:rsidRPr="00D23213" w:rsidRDefault="00576683" w:rsidP="00D57F3B">
            <w:pPr>
              <w:spacing w:before="120"/>
              <w:jc w:val="cente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bs-Latn-BA"/>
              </w:rPr>
              <w:t>222,700</w:t>
            </w:r>
          </w:p>
        </w:tc>
      </w:tr>
      <w:tr w:rsidR="00FE47AD" w:rsidRPr="00D23213" w14:paraId="5A86CD42" w14:textId="77777777" w:rsidTr="00DF6735">
        <w:trPr>
          <w:trHeight w:val="213"/>
          <w:jc w:val="center"/>
        </w:trPr>
        <w:tc>
          <w:tcPr>
            <w:tcW w:w="1754" w:type="dxa"/>
            <w:vMerge/>
            <w:tcBorders>
              <w:left w:val="single" w:sz="4" w:space="0" w:color="000000"/>
              <w:right w:val="single" w:sz="4" w:space="0" w:color="000000"/>
            </w:tcBorders>
            <w:shd w:val="clear" w:color="auto" w:fill="DEEAF6"/>
            <w:vAlign w:val="center"/>
          </w:tcPr>
          <w:p w14:paraId="58B3754F" w14:textId="77777777" w:rsidR="00FE47AD" w:rsidRPr="00D23213" w:rsidRDefault="00FE47AD" w:rsidP="00D57F3B">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77A84FBB" w14:textId="3DDFCD50" w:rsidR="00FE47AD" w:rsidRPr="00D23213" w:rsidRDefault="00FE47AD" w:rsidP="00D57F3B">
            <w:pPr>
              <w:rPr>
                <w:rFonts w:asciiTheme="minorHAnsi" w:hAnsiTheme="minorHAnsi" w:cstheme="minorHAnsi"/>
                <w:noProof/>
                <w:sz w:val="20"/>
                <w:szCs w:val="20"/>
                <w:lang w:val="bs-Latn-BA"/>
              </w:rPr>
            </w:pPr>
            <w:r w:rsidRPr="00D23213">
              <w:rPr>
                <w:rFonts w:asciiTheme="minorHAnsi" w:hAnsiTheme="minorHAnsi" w:cstheme="minorHAnsi"/>
                <w:sz w:val="20"/>
                <w:szCs w:val="20"/>
              </w:rPr>
              <w:t>2.2.1.5. Mjera: Modernizacija nastavnog procesa (opremanje didaktičkim sredstvima)</w:t>
            </w:r>
          </w:p>
        </w:tc>
        <w:tc>
          <w:tcPr>
            <w:tcW w:w="2970" w:type="dxa"/>
            <w:gridSpan w:val="2"/>
            <w:tcBorders>
              <w:left w:val="single" w:sz="4" w:space="0" w:color="000000"/>
              <w:right w:val="single" w:sz="4" w:space="0" w:color="000000"/>
            </w:tcBorders>
            <w:vAlign w:val="center"/>
          </w:tcPr>
          <w:p w14:paraId="0F07B8B1" w14:textId="21A3F853" w:rsidR="00FE47AD" w:rsidRPr="00D23213" w:rsidRDefault="00FE47AD" w:rsidP="00D57F3B">
            <w:pPr>
              <w:rPr>
                <w:rFonts w:asciiTheme="minorHAnsi" w:hAnsiTheme="minorHAnsi" w:cstheme="minorHAnsi"/>
                <w:b/>
                <w:noProof/>
                <w:sz w:val="20"/>
                <w:szCs w:val="20"/>
                <w:lang w:val="bs-Latn-BA"/>
              </w:rPr>
            </w:pPr>
            <w:r w:rsidRPr="00D23213">
              <w:rPr>
                <w:rFonts w:asciiTheme="minorHAnsi" w:hAnsiTheme="minorHAnsi" w:cstheme="minorHAnsi"/>
                <w:noProof/>
                <w:sz w:val="20"/>
                <w:szCs w:val="20"/>
              </w:rPr>
              <w:t>Unapređeni uslovi za izvođenje nastave za najmanje X učenika</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45063D" w14:textId="378524A4" w:rsidR="00FE47AD" w:rsidRPr="00D23213" w:rsidRDefault="00576683" w:rsidP="00D57F3B">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15,000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10D24E2" w14:textId="38570860" w:rsidR="00FE47AD" w:rsidRPr="00D23213" w:rsidRDefault="00576683" w:rsidP="00D57F3B">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15,000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404CB9F5" w14:textId="04AB4F29" w:rsidR="00FE47AD" w:rsidRPr="00D23213" w:rsidRDefault="00576683" w:rsidP="00D57F3B">
            <w:pPr>
              <w:spacing w:before="120"/>
              <w:jc w:val="cente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bs-Latn-BA"/>
              </w:rPr>
              <w:t>30,000</w:t>
            </w:r>
          </w:p>
        </w:tc>
      </w:tr>
      <w:tr w:rsidR="00FE47AD" w:rsidRPr="00D23213" w14:paraId="184E6CEB" w14:textId="77777777" w:rsidTr="000B6E58">
        <w:trPr>
          <w:trHeight w:val="213"/>
          <w:jc w:val="center"/>
        </w:trPr>
        <w:tc>
          <w:tcPr>
            <w:tcW w:w="1754" w:type="dxa"/>
            <w:vMerge/>
            <w:tcBorders>
              <w:left w:val="single" w:sz="4" w:space="0" w:color="000000"/>
              <w:right w:val="single" w:sz="4" w:space="0" w:color="000000"/>
            </w:tcBorders>
            <w:shd w:val="clear" w:color="auto" w:fill="DEEAF6"/>
            <w:vAlign w:val="center"/>
          </w:tcPr>
          <w:p w14:paraId="10003023" w14:textId="77777777" w:rsidR="00FE47AD" w:rsidRPr="00D23213" w:rsidRDefault="00FE47AD" w:rsidP="00D57F3B">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7243687B" w14:textId="570ACAEA" w:rsidR="00FE47AD" w:rsidRPr="00D23213" w:rsidRDefault="00FE47AD" w:rsidP="00D57F3B">
            <w:pPr>
              <w:rPr>
                <w:rFonts w:asciiTheme="minorHAnsi" w:hAnsiTheme="minorHAnsi" w:cstheme="minorHAnsi"/>
                <w:sz w:val="20"/>
                <w:szCs w:val="20"/>
              </w:rPr>
            </w:pPr>
            <w:r w:rsidRPr="00D23213">
              <w:rPr>
                <w:rFonts w:asciiTheme="minorHAnsi" w:hAnsiTheme="minorHAnsi" w:cstheme="minorHAnsi"/>
                <w:sz w:val="20"/>
                <w:szCs w:val="20"/>
              </w:rPr>
              <w:t>2.2.1.6. Projekat Poboljšanje uslova za mlade za bavljenje sportskim i kulturnim aktivnostima</w:t>
            </w:r>
          </w:p>
        </w:tc>
        <w:tc>
          <w:tcPr>
            <w:tcW w:w="2970" w:type="dxa"/>
            <w:gridSpan w:val="2"/>
            <w:tcBorders>
              <w:left w:val="single" w:sz="4" w:space="0" w:color="000000"/>
              <w:right w:val="single" w:sz="4" w:space="0" w:color="000000"/>
            </w:tcBorders>
            <w:vAlign w:val="center"/>
          </w:tcPr>
          <w:p w14:paraId="1F0C389D" w14:textId="40435E11" w:rsidR="00FE47AD" w:rsidRPr="00D23213" w:rsidRDefault="00FE47AD" w:rsidP="00D57F3B">
            <w:pPr>
              <w:rPr>
                <w:rFonts w:asciiTheme="minorHAnsi" w:hAnsiTheme="minorHAnsi" w:cstheme="minorHAnsi"/>
                <w:b/>
                <w:noProof/>
                <w:sz w:val="20"/>
                <w:szCs w:val="20"/>
                <w:lang w:val="bs-Latn-BA"/>
              </w:rPr>
            </w:pPr>
            <w:r w:rsidRPr="00D23213">
              <w:rPr>
                <w:rFonts w:asciiTheme="minorHAnsi" w:hAnsiTheme="minorHAnsi" w:cstheme="minorHAnsi"/>
                <w:noProof/>
                <w:sz w:val="20"/>
                <w:szCs w:val="20"/>
              </w:rPr>
              <w:t>Unapređeni uslovi rada za najmanje X udruženja mladih koji se bave sportom sa najmanje X članova i X udruženja mladih koji se bave kulturnim aktivnostima sa najmanje X članova</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E49150" w14:textId="755E16ED" w:rsidR="00FE47AD" w:rsidRPr="00D23213" w:rsidRDefault="00576683" w:rsidP="00D57F3B">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30,000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5A77F56" w14:textId="0F9E5C5D" w:rsidR="00FE47AD" w:rsidRPr="00D23213" w:rsidRDefault="00576683" w:rsidP="00D57F3B">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70,000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05CCAE7C" w14:textId="533B99EE" w:rsidR="00FE47AD" w:rsidRPr="00D23213" w:rsidRDefault="00576683" w:rsidP="00D57F3B">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100,000</w:t>
            </w:r>
          </w:p>
        </w:tc>
      </w:tr>
      <w:tr w:rsidR="00FE47AD" w:rsidRPr="00D23213" w14:paraId="7D65B829" w14:textId="77777777" w:rsidTr="000B6E58">
        <w:trPr>
          <w:trHeight w:val="213"/>
          <w:jc w:val="center"/>
        </w:trPr>
        <w:tc>
          <w:tcPr>
            <w:tcW w:w="1754" w:type="dxa"/>
            <w:vMerge/>
            <w:tcBorders>
              <w:left w:val="single" w:sz="4" w:space="0" w:color="000000"/>
              <w:right w:val="single" w:sz="4" w:space="0" w:color="000000"/>
            </w:tcBorders>
            <w:shd w:val="clear" w:color="auto" w:fill="DEEAF6"/>
            <w:vAlign w:val="center"/>
          </w:tcPr>
          <w:p w14:paraId="60FB32D3" w14:textId="77777777" w:rsidR="00FE47AD" w:rsidRPr="00D23213" w:rsidRDefault="00FE47AD" w:rsidP="00D57F3B">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1FD9AEEF" w14:textId="0C84D3C5" w:rsidR="00FE47AD" w:rsidRPr="00D23213" w:rsidRDefault="00FE47AD" w:rsidP="00D57F3B">
            <w:pPr>
              <w:rPr>
                <w:rFonts w:asciiTheme="minorHAnsi" w:hAnsiTheme="minorHAnsi" w:cstheme="minorHAnsi"/>
                <w:sz w:val="20"/>
                <w:szCs w:val="20"/>
              </w:rPr>
            </w:pPr>
            <w:r w:rsidRPr="00D23213">
              <w:rPr>
                <w:rFonts w:asciiTheme="minorHAnsi" w:hAnsiTheme="minorHAnsi" w:cstheme="minorHAnsi"/>
                <w:sz w:val="20"/>
                <w:szCs w:val="20"/>
              </w:rPr>
              <w:t>2.2.1.7. Projekat Izgradnja centralnog spomen obilježja</w:t>
            </w:r>
          </w:p>
        </w:tc>
        <w:tc>
          <w:tcPr>
            <w:tcW w:w="2970" w:type="dxa"/>
            <w:gridSpan w:val="2"/>
            <w:tcBorders>
              <w:left w:val="single" w:sz="4" w:space="0" w:color="000000"/>
              <w:right w:val="single" w:sz="4" w:space="0" w:color="000000"/>
            </w:tcBorders>
            <w:vAlign w:val="center"/>
          </w:tcPr>
          <w:p w14:paraId="7D18B7F9" w14:textId="6288750E" w:rsidR="00FE47AD" w:rsidRPr="00D23213" w:rsidRDefault="00FE47AD" w:rsidP="00D57F3B">
            <w:pPr>
              <w:rPr>
                <w:rFonts w:asciiTheme="minorHAnsi" w:hAnsiTheme="minorHAnsi" w:cstheme="minorHAnsi"/>
                <w:b/>
                <w:noProof/>
                <w:sz w:val="20"/>
                <w:szCs w:val="20"/>
                <w:lang w:val="bs-Latn-BA"/>
              </w:rPr>
            </w:pPr>
            <w:r w:rsidRPr="00D23213">
              <w:rPr>
                <w:rFonts w:asciiTheme="minorHAnsi" w:hAnsiTheme="minorHAnsi" w:cstheme="minorHAnsi"/>
                <w:sz w:val="20"/>
                <w:szCs w:val="20"/>
              </w:rPr>
              <w:t>Uređen lokalitet centralnog spomen obilježja</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56D1A8" w14:textId="23C6584F" w:rsidR="00FE47AD" w:rsidRPr="00D23213" w:rsidRDefault="00576683" w:rsidP="00D57F3B">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54,000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5B5D9CB" w14:textId="02BC0452" w:rsidR="00FE47AD" w:rsidRPr="00D23213" w:rsidRDefault="00576683" w:rsidP="00D57F3B">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56,000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5C7130B0" w14:textId="57BC1DE6" w:rsidR="00FE47AD" w:rsidRPr="00D23213" w:rsidRDefault="00576683" w:rsidP="00D57F3B">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110,000</w:t>
            </w:r>
          </w:p>
        </w:tc>
      </w:tr>
      <w:tr w:rsidR="00FE47AD" w:rsidRPr="00D23213" w14:paraId="15EBC3BF" w14:textId="77777777" w:rsidTr="000B6E58">
        <w:trPr>
          <w:trHeight w:val="213"/>
          <w:jc w:val="center"/>
        </w:trPr>
        <w:tc>
          <w:tcPr>
            <w:tcW w:w="1754" w:type="dxa"/>
            <w:vMerge/>
            <w:tcBorders>
              <w:left w:val="single" w:sz="4" w:space="0" w:color="000000"/>
              <w:right w:val="single" w:sz="4" w:space="0" w:color="000000"/>
            </w:tcBorders>
            <w:shd w:val="clear" w:color="auto" w:fill="DEEAF6"/>
            <w:vAlign w:val="center"/>
          </w:tcPr>
          <w:p w14:paraId="7F897689" w14:textId="77777777" w:rsidR="00FE47AD" w:rsidRPr="00D23213" w:rsidRDefault="00FE47AD" w:rsidP="00D57F3B">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57957482" w14:textId="77BA3741" w:rsidR="00FE47AD" w:rsidRPr="00D23213" w:rsidRDefault="00FE47AD" w:rsidP="00D57F3B">
            <w:pPr>
              <w:rPr>
                <w:rFonts w:asciiTheme="minorHAnsi" w:hAnsiTheme="minorHAnsi" w:cstheme="minorHAnsi"/>
                <w:sz w:val="20"/>
                <w:szCs w:val="20"/>
              </w:rPr>
            </w:pPr>
            <w:r w:rsidRPr="00D23213">
              <w:rPr>
                <w:rFonts w:asciiTheme="minorHAnsi" w:hAnsiTheme="minorHAnsi" w:cstheme="minorHAnsi"/>
                <w:sz w:val="20"/>
                <w:szCs w:val="20"/>
              </w:rPr>
              <w:t>2.2.1.8. Projekat Osnivanje zavičajnog muzeja i adaptacija i zaštita zgrade „Đerinac“</w:t>
            </w:r>
          </w:p>
        </w:tc>
        <w:tc>
          <w:tcPr>
            <w:tcW w:w="2970" w:type="dxa"/>
            <w:gridSpan w:val="2"/>
            <w:tcBorders>
              <w:left w:val="single" w:sz="4" w:space="0" w:color="000000"/>
              <w:right w:val="single" w:sz="4" w:space="0" w:color="000000"/>
            </w:tcBorders>
            <w:vAlign w:val="center"/>
          </w:tcPr>
          <w:p w14:paraId="1BA37A1E" w14:textId="7A825E71" w:rsidR="00FE47AD" w:rsidRPr="00D23213" w:rsidRDefault="00FE47AD" w:rsidP="00D57F3B">
            <w:pPr>
              <w:rPr>
                <w:rFonts w:asciiTheme="minorHAnsi" w:hAnsiTheme="minorHAnsi" w:cstheme="minorHAnsi"/>
                <w:sz w:val="20"/>
                <w:szCs w:val="20"/>
              </w:rPr>
            </w:pPr>
            <w:r w:rsidRPr="00D23213">
              <w:rPr>
                <w:rFonts w:asciiTheme="minorHAnsi" w:hAnsiTheme="minorHAnsi" w:cstheme="minorHAnsi"/>
                <w:noProof/>
                <w:sz w:val="20"/>
                <w:szCs w:val="20"/>
              </w:rPr>
              <w:t>Najmanje 3 događaja godišnje organizovana u prostoru muzeja i 3 u prostoru zgrade Đerinac</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909109" w14:textId="1A940D0E" w:rsidR="00FE47AD" w:rsidRPr="00D23213" w:rsidRDefault="00576683" w:rsidP="00D57F3B">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70,000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A18F2B0" w14:textId="27046E7B" w:rsidR="00FE47AD" w:rsidRPr="00D23213" w:rsidRDefault="00576683" w:rsidP="00D57F3B">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130,000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5A2343C5" w14:textId="7F7FF501" w:rsidR="00FE47AD" w:rsidRPr="00D23213" w:rsidRDefault="00576683" w:rsidP="00D57F3B">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200,000</w:t>
            </w:r>
          </w:p>
        </w:tc>
      </w:tr>
      <w:tr w:rsidR="00CE4C4B" w:rsidRPr="00D23213" w14:paraId="78B7FF66" w14:textId="77777777" w:rsidTr="00DF6735">
        <w:trPr>
          <w:trHeight w:val="787"/>
          <w:jc w:val="center"/>
        </w:trPr>
        <w:tc>
          <w:tcPr>
            <w:tcW w:w="1754" w:type="dxa"/>
            <w:tcBorders>
              <w:left w:val="single" w:sz="4" w:space="0" w:color="000000"/>
              <w:right w:val="single" w:sz="4" w:space="0" w:color="000000"/>
            </w:tcBorders>
            <w:shd w:val="clear" w:color="auto" w:fill="8EAADB"/>
            <w:vAlign w:val="center"/>
          </w:tcPr>
          <w:p w14:paraId="63F396B9" w14:textId="52B98D21" w:rsidR="00CE4C4B" w:rsidRPr="00D23213" w:rsidRDefault="00CE4C4B" w:rsidP="00DF6735">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2.3. Sektorski cilj</w:t>
            </w:r>
          </w:p>
        </w:tc>
        <w:tc>
          <w:tcPr>
            <w:tcW w:w="3757" w:type="dxa"/>
            <w:tcBorders>
              <w:left w:val="single" w:sz="4" w:space="0" w:color="000000"/>
              <w:right w:val="single" w:sz="4" w:space="0" w:color="000000"/>
            </w:tcBorders>
            <w:vAlign w:val="center"/>
          </w:tcPr>
          <w:p w14:paraId="12EA1120" w14:textId="3C64838B" w:rsidR="00CE4C4B" w:rsidRPr="00D23213" w:rsidRDefault="00CE4C4B" w:rsidP="00DF6735">
            <w:pPr>
              <w:rPr>
                <w:rFonts w:asciiTheme="minorHAnsi" w:hAnsiTheme="minorHAnsi" w:cstheme="minorHAnsi"/>
                <w:b/>
                <w:noProof/>
                <w:color w:val="FF0000"/>
                <w:sz w:val="20"/>
                <w:szCs w:val="20"/>
                <w:lang w:val="bs-Latn-BA"/>
              </w:rPr>
            </w:pPr>
            <w:r w:rsidRPr="00D23213">
              <w:rPr>
                <w:rFonts w:asciiTheme="minorHAnsi" w:hAnsiTheme="minorHAnsi" w:cstheme="minorHAnsi"/>
                <w:b/>
                <w:bCs/>
                <w:sz w:val="20"/>
                <w:szCs w:val="20"/>
                <w:lang w:val="sr-Cyrl-CS"/>
              </w:rPr>
              <w:t>Ojača</w:t>
            </w:r>
            <w:r w:rsidRPr="00D23213">
              <w:rPr>
                <w:rFonts w:asciiTheme="minorHAnsi" w:hAnsiTheme="minorHAnsi" w:cstheme="minorHAnsi"/>
                <w:b/>
                <w:bCs/>
                <w:sz w:val="20"/>
                <w:szCs w:val="20"/>
              </w:rPr>
              <w:t>n</w:t>
            </w:r>
            <w:r w:rsidRPr="00D23213">
              <w:rPr>
                <w:rFonts w:asciiTheme="minorHAnsi" w:hAnsiTheme="minorHAnsi" w:cstheme="minorHAnsi"/>
                <w:b/>
                <w:bCs/>
                <w:sz w:val="20"/>
                <w:szCs w:val="20"/>
                <w:lang w:val="sr-Cyrl-CS"/>
              </w:rPr>
              <w:t xml:space="preserve">i </w:t>
            </w:r>
            <w:r w:rsidRPr="00D23213">
              <w:rPr>
                <w:rFonts w:asciiTheme="minorHAnsi" w:hAnsiTheme="minorHAnsi" w:cstheme="minorHAnsi"/>
                <w:b/>
                <w:bCs/>
                <w:sz w:val="20"/>
                <w:szCs w:val="20"/>
              </w:rPr>
              <w:t>kapaciteti</w:t>
            </w:r>
            <w:r w:rsidRPr="00D23213">
              <w:rPr>
                <w:rFonts w:asciiTheme="minorHAnsi" w:hAnsiTheme="minorHAnsi" w:cstheme="minorHAnsi"/>
                <w:b/>
                <w:bCs/>
                <w:sz w:val="20"/>
                <w:szCs w:val="20"/>
                <w:lang w:val="sr-Cyrl-CS"/>
              </w:rPr>
              <w:t xml:space="preserve"> civilnog društva</w:t>
            </w:r>
            <w:r w:rsidRPr="00D23213">
              <w:rPr>
                <w:rFonts w:asciiTheme="minorHAnsi" w:hAnsiTheme="minorHAnsi" w:cstheme="minorHAnsi"/>
                <w:b/>
                <w:bCs/>
                <w:sz w:val="20"/>
                <w:szCs w:val="20"/>
              </w:rPr>
              <w:t xml:space="preserve"> do 2020. godine</w:t>
            </w:r>
          </w:p>
        </w:tc>
        <w:tc>
          <w:tcPr>
            <w:tcW w:w="1620" w:type="dxa"/>
            <w:tcBorders>
              <w:left w:val="single" w:sz="4" w:space="0" w:color="000000"/>
              <w:right w:val="single" w:sz="4" w:space="0" w:color="000000"/>
            </w:tcBorders>
            <w:shd w:val="clear" w:color="auto" w:fill="8EAADB"/>
            <w:vAlign w:val="center"/>
          </w:tcPr>
          <w:p w14:paraId="389FAAE7" w14:textId="77777777" w:rsidR="00CE4C4B" w:rsidRPr="00D23213" w:rsidRDefault="00CE4C4B" w:rsidP="00DF6735">
            <w:pPr>
              <w:spacing w:before="40"/>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14:paraId="6179A41D" w14:textId="77777777" w:rsidR="00CE4C4B" w:rsidRPr="00D23213" w:rsidRDefault="00CE4C4B" w:rsidP="00CE4C4B">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Najmanje 3 projekta pripremljena od strane NVO na području opštine finansirana iz eksternih izvora do 2020.</w:t>
            </w:r>
          </w:p>
          <w:p w14:paraId="2F20D006" w14:textId="229B3DCA" w:rsidR="00CE4C4B" w:rsidRPr="00D23213" w:rsidRDefault="00CE4C4B" w:rsidP="00FE47AD">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U oblasti društvenog razvoja najmanje jedna inicijativa godišnje implementirana u saradnji sa dijasporom</w:t>
            </w:r>
          </w:p>
        </w:tc>
        <w:tc>
          <w:tcPr>
            <w:tcW w:w="1170" w:type="dxa"/>
            <w:tcBorders>
              <w:top w:val="single" w:sz="4" w:space="0" w:color="000000"/>
              <w:left w:val="single" w:sz="4" w:space="0" w:color="000000"/>
              <w:right w:val="single" w:sz="4" w:space="0" w:color="000000"/>
            </w:tcBorders>
            <w:shd w:val="clear" w:color="auto" w:fill="8EAADB"/>
            <w:vAlign w:val="center"/>
          </w:tcPr>
          <w:p w14:paraId="18D93293" w14:textId="77777777" w:rsidR="00CE4C4B" w:rsidRPr="00D23213" w:rsidRDefault="00CE4C4B" w:rsidP="00DF6735">
            <w:pPr>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vAlign w:val="center"/>
          </w:tcPr>
          <w:p w14:paraId="49089261" w14:textId="77777777" w:rsidR="00FE47AD" w:rsidRPr="00D23213" w:rsidRDefault="00FE47AD" w:rsidP="00FE47AD">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Broj projekata pripremljenih od strane NVO na području opštine finansiranih iz eksternih izvora</w:t>
            </w:r>
          </w:p>
          <w:p w14:paraId="272605C4" w14:textId="68E463B6" w:rsidR="00CE4C4B" w:rsidRPr="00D23213" w:rsidRDefault="00FE47AD" w:rsidP="00FE47AD">
            <w:pPr>
              <w:numPr>
                <w:ilvl w:val="0"/>
                <w:numId w:val="27"/>
              </w:numPr>
              <w:tabs>
                <w:tab w:val="clear" w:pos="720"/>
              </w:tabs>
              <w:ind w:left="269" w:hanging="269"/>
              <w:jc w:val="both"/>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sr-Cyrl-CS"/>
              </w:rPr>
              <w:t>Broj inicijativa godišnje implementiranih u saradnji sa dijasporom</w:t>
            </w:r>
          </w:p>
        </w:tc>
      </w:tr>
      <w:tr w:rsidR="00CE4C4B" w:rsidRPr="00D23213" w14:paraId="705A8905" w14:textId="77777777" w:rsidTr="00DF6735">
        <w:trPr>
          <w:trHeight w:val="213"/>
          <w:jc w:val="center"/>
        </w:trPr>
        <w:tc>
          <w:tcPr>
            <w:tcW w:w="1754" w:type="dxa"/>
            <w:vMerge w:val="restart"/>
            <w:tcBorders>
              <w:left w:val="single" w:sz="4" w:space="0" w:color="000000"/>
              <w:right w:val="single" w:sz="4" w:space="0" w:color="000000"/>
            </w:tcBorders>
            <w:shd w:val="clear" w:color="auto" w:fill="DEEAF6"/>
            <w:vAlign w:val="center"/>
          </w:tcPr>
          <w:p w14:paraId="45CDEC08" w14:textId="25412E0A" w:rsidR="00CE4C4B" w:rsidRPr="00D23213" w:rsidRDefault="00CE4C4B" w:rsidP="00DF6735">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2.3.1.Program</w:t>
            </w:r>
          </w:p>
        </w:tc>
        <w:tc>
          <w:tcPr>
            <w:tcW w:w="12233" w:type="dxa"/>
            <w:gridSpan w:val="8"/>
            <w:tcBorders>
              <w:left w:val="single" w:sz="4" w:space="0" w:color="000000"/>
              <w:right w:val="single" w:sz="4" w:space="0" w:color="000000"/>
            </w:tcBorders>
            <w:vAlign w:val="center"/>
          </w:tcPr>
          <w:p w14:paraId="07E4D20A" w14:textId="05041BF8" w:rsidR="00CE4C4B" w:rsidRPr="00D23213" w:rsidRDefault="00FE47AD" w:rsidP="00DF6735">
            <w:pPr>
              <w:spacing w:before="120"/>
              <w:jc w:val="center"/>
              <w:rPr>
                <w:rFonts w:asciiTheme="minorHAnsi" w:hAnsiTheme="minorHAnsi" w:cstheme="minorHAnsi"/>
                <w:b/>
                <w:noProof/>
                <w:color w:val="FF0000"/>
                <w:sz w:val="20"/>
                <w:szCs w:val="20"/>
                <w:lang w:val="bs-Latn-BA"/>
              </w:rPr>
            </w:pPr>
            <w:r w:rsidRPr="00D23213">
              <w:rPr>
                <w:rFonts w:asciiTheme="minorHAnsi" w:hAnsiTheme="minorHAnsi" w:cstheme="minorHAnsi"/>
                <w:b/>
                <w:sz w:val="20"/>
                <w:szCs w:val="20"/>
              </w:rPr>
              <w:t>Razvoj kapaciteta NVO i komunikacije sa dijasporom</w:t>
            </w:r>
          </w:p>
        </w:tc>
      </w:tr>
      <w:tr w:rsidR="00CE4C4B" w:rsidRPr="00D23213" w14:paraId="70096CFC" w14:textId="77777777" w:rsidTr="00DF6735">
        <w:trPr>
          <w:trHeight w:val="213"/>
          <w:jc w:val="center"/>
        </w:trPr>
        <w:tc>
          <w:tcPr>
            <w:tcW w:w="1754" w:type="dxa"/>
            <w:vMerge/>
            <w:tcBorders>
              <w:left w:val="single" w:sz="4" w:space="0" w:color="000000"/>
              <w:right w:val="single" w:sz="4" w:space="0" w:color="000000"/>
            </w:tcBorders>
            <w:shd w:val="clear" w:color="auto" w:fill="DEEAF6"/>
            <w:vAlign w:val="center"/>
          </w:tcPr>
          <w:p w14:paraId="5C477848" w14:textId="77777777" w:rsidR="00CE4C4B" w:rsidRPr="00D23213" w:rsidRDefault="00CE4C4B" w:rsidP="00DF6735">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3CDE388D" w14:textId="7C486C84" w:rsidR="00CE4C4B" w:rsidRPr="00D23213" w:rsidRDefault="00FE47AD" w:rsidP="00DF6735">
            <w:pPr>
              <w:rPr>
                <w:rFonts w:asciiTheme="minorHAnsi" w:hAnsiTheme="minorHAnsi" w:cstheme="minorHAnsi"/>
                <w:noProof/>
                <w:sz w:val="20"/>
                <w:szCs w:val="20"/>
                <w:lang w:val="bs-Latn-BA"/>
              </w:rPr>
            </w:pPr>
            <w:r w:rsidRPr="00D23213">
              <w:rPr>
                <w:rFonts w:asciiTheme="minorHAnsi" w:hAnsiTheme="minorHAnsi" w:cstheme="minorHAnsi"/>
                <w:sz w:val="20"/>
                <w:szCs w:val="20"/>
              </w:rPr>
              <w:t>2.3.1.1. Projekat Izgradnja kapaciteta NVO sektora</w:t>
            </w:r>
          </w:p>
        </w:tc>
        <w:tc>
          <w:tcPr>
            <w:tcW w:w="2970" w:type="dxa"/>
            <w:gridSpan w:val="2"/>
            <w:tcBorders>
              <w:left w:val="single" w:sz="4" w:space="0" w:color="000000"/>
              <w:right w:val="single" w:sz="4" w:space="0" w:color="000000"/>
            </w:tcBorders>
            <w:vAlign w:val="center"/>
          </w:tcPr>
          <w:p w14:paraId="2036E41F" w14:textId="179E7AF2" w:rsidR="00CE4C4B" w:rsidRPr="00D23213" w:rsidRDefault="00FE47AD" w:rsidP="00DF6735">
            <w:pPr>
              <w:rPr>
                <w:rFonts w:asciiTheme="minorHAnsi" w:hAnsiTheme="minorHAnsi" w:cstheme="minorHAnsi"/>
                <w:b/>
                <w:noProof/>
                <w:sz w:val="20"/>
                <w:szCs w:val="20"/>
                <w:lang w:val="bs-Latn-BA"/>
              </w:rPr>
            </w:pPr>
            <w:r w:rsidRPr="00D23213">
              <w:rPr>
                <w:rFonts w:asciiTheme="minorHAnsi" w:hAnsiTheme="minorHAnsi" w:cstheme="minorHAnsi"/>
                <w:bCs/>
                <w:sz w:val="20"/>
                <w:szCs w:val="20"/>
              </w:rPr>
              <w:t>Unapređeni kapaciteti za pripremu i implementaciju projekata najmanje X organizacija na području opštine Prnjavor</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DA3640" w14:textId="410F5D8E" w:rsidR="00CE4C4B" w:rsidRPr="00D23213" w:rsidRDefault="00576683" w:rsidP="00DF6735">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600,000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2602FE8" w14:textId="257B56A4" w:rsidR="00CE4C4B" w:rsidRPr="00D23213" w:rsidRDefault="00576683" w:rsidP="00DF6735">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6F1ABE74" w14:textId="30856BF7" w:rsidR="00CE4C4B" w:rsidRPr="00D23213" w:rsidRDefault="00576683" w:rsidP="00DF6735">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600,000</w:t>
            </w:r>
          </w:p>
        </w:tc>
      </w:tr>
      <w:tr w:rsidR="00FE47AD" w:rsidRPr="00D23213" w14:paraId="6F3BB84F" w14:textId="77777777" w:rsidTr="00FE47AD">
        <w:trPr>
          <w:trHeight w:val="494"/>
          <w:jc w:val="center"/>
        </w:trPr>
        <w:tc>
          <w:tcPr>
            <w:tcW w:w="1754" w:type="dxa"/>
            <w:vMerge/>
            <w:tcBorders>
              <w:left w:val="single" w:sz="4" w:space="0" w:color="000000"/>
              <w:right w:val="single" w:sz="4" w:space="0" w:color="000000"/>
            </w:tcBorders>
            <w:shd w:val="clear" w:color="auto" w:fill="DEEAF6"/>
            <w:vAlign w:val="center"/>
          </w:tcPr>
          <w:p w14:paraId="34A701B3" w14:textId="77777777" w:rsidR="00FE47AD" w:rsidRPr="00D23213" w:rsidRDefault="00FE47AD" w:rsidP="00DF6735">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vAlign w:val="center"/>
          </w:tcPr>
          <w:p w14:paraId="05F8F723" w14:textId="2DDF5A47" w:rsidR="00FE47AD" w:rsidRPr="00D23213" w:rsidRDefault="00FE47AD" w:rsidP="00DF6735">
            <w:pPr>
              <w:rPr>
                <w:rFonts w:asciiTheme="minorHAnsi" w:hAnsiTheme="minorHAnsi" w:cstheme="minorHAnsi"/>
                <w:noProof/>
                <w:sz w:val="20"/>
                <w:szCs w:val="20"/>
                <w:lang w:val="bs-Latn-BA"/>
              </w:rPr>
            </w:pPr>
            <w:r w:rsidRPr="00D23213">
              <w:rPr>
                <w:rFonts w:asciiTheme="minorHAnsi" w:hAnsiTheme="minorHAnsi" w:cstheme="minorHAnsi"/>
                <w:sz w:val="20"/>
                <w:szCs w:val="20"/>
              </w:rPr>
              <w:t>2.3.1.2. Projekat Izrada baze podataka o dijaspori i unapređenje komunikacije</w:t>
            </w:r>
          </w:p>
        </w:tc>
        <w:tc>
          <w:tcPr>
            <w:tcW w:w="2970" w:type="dxa"/>
            <w:gridSpan w:val="2"/>
            <w:tcBorders>
              <w:left w:val="single" w:sz="4" w:space="0" w:color="000000"/>
              <w:right w:val="single" w:sz="4" w:space="0" w:color="000000"/>
            </w:tcBorders>
            <w:vAlign w:val="center"/>
          </w:tcPr>
          <w:p w14:paraId="6484C983" w14:textId="7306E925" w:rsidR="00FE47AD" w:rsidRPr="00D23213" w:rsidRDefault="00FE47AD" w:rsidP="00DF6735">
            <w:pPr>
              <w:rPr>
                <w:rFonts w:asciiTheme="minorHAnsi" w:hAnsiTheme="minorHAnsi" w:cstheme="minorHAnsi"/>
                <w:b/>
                <w:noProof/>
                <w:sz w:val="20"/>
                <w:szCs w:val="20"/>
                <w:lang w:val="bs-Latn-BA"/>
              </w:rPr>
            </w:pPr>
            <w:r w:rsidRPr="00D23213">
              <w:rPr>
                <w:rFonts w:asciiTheme="minorHAnsi" w:hAnsiTheme="minorHAnsi" w:cstheme="minorHAnsi"/>
                <w:noProof/>
                <w:sz w:val="20"/>
                <w:szCs w:val="20"/>
              </w:rPr>
              <w:t>Unapređena komunikacija sa dijasporom korištenjem nove baze podataka</w:t>
            </w:r>
          </w:p>
        </w:tc>
        <w:tc>
          <w:tcPr>
            <w:tcW w:w="1890" w:type="dxa"/>
            <w:tcBorders>
              <w:top w:val="single" w:sz="4" w:space="0" w:color="000000"/>
              <w:left w:val="single" w:sz="4" w:space="0" w:color="000000"/>
              <w:right w:val="single" w:sz="4" w:space="0" w:color="000000"/>
            </w:tcBorders>
            <w:shd w:val="clear" w:color="auto" w:fill="F2F2F2"/>
            <w:vAlign w:val="center"/>
          </w:tcPr>
          <w:p w14:paraId="55338A3E" w14:textId="098BB408" w:rsidR="00FE47AD" w:rsidRPr="00D23213" w:rsidRDefault="00576683" w:rsidP="00DF6735">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890" w:type="dxa"/>
            <w:gridSpan w:val="2"/>
            <w:tcBorders>
              <w:top w:val="single" w:sz="4" w:space="0" w:color="000000"/>
              <w:left w:val="single" w:sz="4" w:space="0" w:color="000000"/>
              <w:right w:val="single" w:sz="4" w:space="0" w:color="000000"/>
            </w:tcBorders>
            <w:shd w:val="clear" w:color="auto" w:fill="F2F2F2"/>
            <w:vAlign w:val="center"/>
          </w:tcPr>
          <w:p w14:paraId="354B5CB1" w14:textId="4F864D74" w:rsidR="00FE47AD" w:rsidRPr="00D23213" w:rsidRDefault="00576683" w:rsidP="00DF6735">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c>
          <w:tcPr>
            <w:tcW w:w="1726" w:type="dxa"/>
            <w:gridSpan w:val="2"/>
            <w:tcBorders>
              <w:top w:val="single" w:sz="4" w:space="0" w:color="000000"/>
              <w:left w:val="single" w:sz="4" w:space="0" w:color="000000"/>
              <w:right w:val="single" w:sz="4" w:space="0" w:color="000000"/>
            </w:tcBorders>
            <w:shd w:val="clear" w:color="auto" w:fill="95B3D7"/>
            <w:vAlign w:val="center"/>
          </w:tcPr>
          <w:p w14:paraId="272FC8EB" w14:textId="6E563DF8" w:rsidR="00FE47AD" w:rsidRPr="00D23213" w:rsidRDefault="00576683" w:rsidP="00DF6735">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0</w:t>
            </w:r>
          </w:p>
        </w:tc>
      </w:tr>
      <w:tr w:rsidR="00534FE4" w:rsidRPr="00D23213" w14:paraId="05257A57" w14:textId="77777777" w:rsidTr="00DF6735">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14:paraId="036B3030" w14:textId="5AC504B2" w:rsidR="00534FE4" w:rsidRPr="00D23213" w:rsidRDefault="00534FE4" w:rsidP="00DF6735">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3. Strateški cilj</w:t>
            </w:r>
          </w:p>
        </w:tc>
        <w:tc>
          <w:tcPr>
            <w:tcW w:w="12233" w:type="dxa"/>
            <w:gridSpan w:val="8"/>
            <w:tcBorders>
              <w:top w:val="single" w:sz="4" w:space="0" w:color="000000"/>
              <w:left w:val="single" w:sz="4" w:space="0" w:color="000000"/>
              <w:right w:val="single" w:sz="4" w:space="0" w:color="000000"/>
            </w:tcBorders>
            <w:vAlign w:val="center"/>
          </w:tcPr>
          <w:p w14:paraId="08B7F99A" w14:textId="77777777" w:rsidR="00534FE4" w:rsidRPr="00D23213" w:rsidRDefault="00534FE4" w:rsidP="00534FE4">
            <w:pPr>
              <w:spacing w:before="60"/>
              <w:rPr>
                <w:rFonts w:asciiTheme="minorHAnsi" w:hAnsiTheme="minorHAnsi" w:cstheme="minorHAnsi"/>
                <w:b/>
                <w:noProof/>
                <w:sz w:val="20"/>
                <w:szCs w:val="20"/>
                <w:lang w:val="en-US"/>
              </w:rPr>
            </w:pPr>
            <w:r w:rsidRPr="00D23213">
              <w:rPr>
                <w:rFonts w:asciiTheme="minorHAnsi" w:hAnsiTheme="minorHAnsi" w:cstheme="minorHAnsi"/>
                <w:b/>
                <w:bCs/>
                <w:noProof/>
                <w:sz w:val="20"/>
                <w:szCs w:val="20"/>
              </w:rPr>
              <w:t xml:space="preserve">Unapređen sistem upravljanja otpadom i energetska efikasnost i povećan stepen korištenja obnovljive / čiste energije uz smanjenje rizika od elementarnih nepogoda i drugih nesreća </w:t>
            </w:r>
          </w:p>
          <w:p w14:paraId="42244986" w14:textId="3A46BD63" w:rsidR="00534FE4" w:rsidRPr="00D23213" w:rsidRDefault="00534FE4" w:rsidP="00534FE4">
            <w:pPr>
              <w:spacing w:before="120"/>
              <w:rPr>
                <w:rFonts w:asciiTheme="minorHAnsi" w:hAnsiTheme="minorHAnsi" w:cstheme="minorHAnsi"/>
                <w:b/>
                <w:noProof/>
                <w:color w:val="FF0000"/>
                <w:sz w:val="20"/>
                <w:szCs w:val="20"/>
                <w:lang w:val="bs-Latn-BA"/>
              </w:rPr>
            </w:pPr>
            <w:r w:rsidRPr="00D23213">
              <w:rPr>
                <w:rFonts w:asciiTheme="minorHAnsi" w:hAnsiTheme="minorHAnsi" w:cstheme="minorHAnsi"/>
                <w:b/>
                <w:bCs/>
                <w:i/>
                <w:iCs/>
                <w:noProof/>
                <w:sz w:val="20"/>
                <w:szCs w:val="20"/>
              </w:rPr>
              <w:t>Unaprijeđen sistem upravljanja okolišem uz smanjenje rizika od elementarnih nepogoda i drug</w:t>
            </w:r>
            <w:r w:rsidRPr="00D23213">
              <w:rPr>
                <w:rFonts w:asciiTheme="minorHAnsi" w:hAnsiTheme="minorHAnsi" w:cstheme="minorHAnsi"/>
                <w:b/>
                <w:bCs/>
                <w:i/>
                <w:iCs/>
                <w:noProof/>
                <w:sz w:val="20"/>
                <w:szCs w:val="20"/>
                <w:lang w:val="en-US"/>
              </w:rPr>
              <w:t>i</w:t>
            </w:r>
            <w:r w:rsidRPr="00D23213">
              <w:rPr>
                <w:rFonts w:asciiTheme="minorHAnsi" w:hAnsiTheme="minorHAnsi" w:cstheme="minorHAnsi"/>
                <w:b/>
                <w:bCs/>
                <w:i/>
                <w:iCs/>
                <w:noProof/>
                <w:sz w:val="20"/>
                <w:szCs w:val="20"/>
              </w:rPr>
              <w:t>h nesreća</w:t>
            </w:r>
          </w:p>
        </w:tc>
      </w:tr>
      <w:tr w:rsidR="00534FE4" w:rsidRPr="00D23213" w14:paraId="4B6E17E0" w14:textId="77777777" w:rsidTr="00DF6735">
        <w:trPr>
          <w:trHeight w:val="787"/>
          <w:jc w:val="center"/>
        </w:trPr>
        <w:tc>
          <w:tcPr>
            <w:tcW w:w="1754" w:type="dxa"/>
            <w:tcBorders>
              <w:left w:val="single" w:sz="4" w:space="0" w:color="000000"/>
              <w:right w:val="single" w:sz="4" w:space="0" w:color="000000"/>
            </w:tcBorders>
            <w:shd w:val="clear" w:color="auto" w:fill="8EAADB"/>
            <w:vAlign w:val="center"/>
          </w:tcPr>
          <w:p w14:paraId="09D31B39" w14:textId="2D4D4046" w:rsidR="00534FE4" w:rsidRPr="00D23213" w:rsidRDefault="00534FE4" w:rsidP="00DF6735">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3.1. Sektorski cilj</w:t>
            </w:r>
          </w:p>
        </w:tc>
        <w:tc>
          <w:tcPr>
            <w:tcW w:w="3757" w:type="dxa"/>
            <w:tcBorders>
              <w:left w:val="single" w:sz="4" w:space="0" w:color="000000"/>
              <w:right w:val="single" w:sz="4" w:space="0" w:color="000000"/>
            </w:tcBorders>
            <w:vAlign w:val="center"/>
          </w:tcPr>
          <w:p w14:paraId="02C8155B" w14:textId="2FF2F5E4" w:rsidR="00534FE4" w:rsidRPr="00D23213" w:rsidRDefault="00534FE4" w:rsidP="00DF6735">
            <w:pPr>
              <w:rPr>
                <w:rFonts w:asciiTheme="minorHAnsi" w:hAnsiTheme="minorHAnsi" w:cstheme="minorHAnsi"/>
                <w:b/>
                <w:noProof/>
                <w:color w:val="FF0000"/>
                <w:sz w:val="20"/>
                <w:szCs w:val="20"/>
                <w:lang w:val="bs-Latn-BA"/>
              </w:rPr>
            </w:pPr>
            <w:r w:rsidRPr="00D23213">
              <w:rPr>
                <w:rFonts w:asciiTheme="minorHAnsi" w:hAnsiTheme="minorHAnsi" w:cstheme="minorHAnsi"/>
                <w:b/>
                <w:bCs/>
                <w:sz w:val="20"/>
                <w:szCs w:val="20"/>
              </w:rPr>
              <w:t>Unapređeni kapaciteti za zbrinjavanje čvrstog otpada i otpadnih voda do 2020. godine</w:t>
            </w:r>
          </w:p>
        </w:tc>
        <w:tc>
          <w:tcPr>
            <w:tcW w:w="1620" w:type="dxa"/>
            <w:tcBorders>
              <w:left w:val="single" w:sz="4" w:space="0" w:color="000000"/>
              <w:right w:val="single" w:sz="4" w:space="0" w:color="000000"/>
            </w:tcBorders>
            <w:shd w:val="clear" w:color="auto" w:fill="8EAADB"/>
            <w:vAlign w:val="center"/>
          </w:tcPr>
          <w:p w14:paraId="50E7E7A6" w14:textId="77777777" w:rsidR="00534FE4" w:rsidRPr="00D23213" w:rsidRDefault="00534FE4" w:rsidP="00DF6735">
            <w:pPr>
              <w:spacing w:before="40"/>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14:paraId="511F6FDE" w14:textId="77777777" w:rsidR="00534FE4" w:rsidRPr="00D23213" w:rsidRDefault="00534FE4" w:rsidP="00534FE4">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Pripremljena informaciona i dokumentaciona osnova za izgradnju postrojenja za prečišćavanje otpadnih voda do 2020.</w:t>
            </w:r>
          </w:p>
          <w:p w14:paraId="3E136EDE" w14:textId="77777777" w:rsidR="00534FE4" w:rsidRPr="00D23213" w:rsidRDefault="00534FE4" w:rsidP="00534FE4">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lastRenderedPageBreak/>
              <w:t xml:space="preserve">Sistemom organizovanog prikupljanja čvrstog otpada obuhvaćeno 90% domaćinstava u ruralnim i 100% u urbanim naseljima do kraja 2020. godine </w:t>
            </w:r>
          </w:p>
          <w:p w14:paraId="0A90FE9D" w14:textId="77777777" w:rsidR="00534FE4" w:rsidRPr="00D23213" w:rsidRDefault="00534FE4" w:rsidP="00534FE4">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Ostvareni godišnji prihod od prodaje reciklažnog otpada povećan za 3 puta do kraja 2020. godine u odnosu na 2017. godinu</w:t>
            </w:r>
          </w:p>
          <w:p w14:paraId="778476D8" w14:textId="77777777" w:rsidR="00534FE4" w:rsidRPr="00D23213" w:rsidRDefault="00534FE4" w:rsidP="00534FE4">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Najmanje 25% čvrstog otpada se reciklira do 2020. godine</w:t>
            </w:r>
          </w:p>
          <w:p w14:paraId="5779AA29" w14:textId="2FD023F2" w:rsidR="00534FE4" w:rsidRPr="00D23213" w:rsidRDefault="00534FE4" w:rsidP="00534FE4">
            <w:pPr>
              <w:numPr>
                <w:ilvl w:val="0"/>
                <w:numId w:val="27"/>
              </w:numPr>
              <w:tabs>
                <w:tab w:val="clear" w:pos="720"/>
              </w:tabs>
              <w:ind w:left="269" w:hanging="269"/>
              <w:jc w:val="both"/>
              <w:rPr>
                <w:rFonts w:asciiTheme="minorHAnsi" w:hAnsiTheme="minorHAnsi" w:cstheme="minorHAnsi"/>
                <w:noProof/>
                <w:color w:val="FF0000"/>
                <w:sz w:val="20"/>
                <w:szCs w:val="20"/>
                <w:lang w:val="bs-Latn-BA"/>
              </w:rPr>
            </w:pPr>
            <w:r w:rsidRPr="00D23213">
              <w:rPr>
                <w:rFonts w:asciiTheme="minorHAnsi" w:hAnsiTheme="minorHAnsi" w:cstheme="minorHAnsi"/>
                <w:noProof/>
                <w:sz w:val="20"/>
                <w:szCs w:val="20"/>
                <w:lang w:val="sr-Cyrl-CS"/>
              </w:rPr>
              <w:t>Smanjena opasnost od zoonoza na području opštine do 2020.</w:t>
            </w:r>
          </w:p>
        </w:tc>
        <w:tc>
          <w:tcPr>
            <w:tcW w:w="1170" w:type="dxa"/>
            <w:tcBorders>
              <w:top w:val="single" w:sz="4" w:space="0" w:color="000000"/>
              <w:left w:val="single" w:sz="4" w:space="0" w:color="000000"/>
              <w:right w:val="single" w:sz="4" w:space="0" w:color="000000"/>
            </w:tcBorders>
            <w:shd w:val="clear" w:color="auto" w:fill="8EAADB"/>
            <w:vAlign w:val="center"/>
          </w:tcPr>
          <w:p w14:paraId="7181CB39" w14:textId="77777777" w:rsidR="00534FE4" w:rsidRPr="00D23213" w:rsidRDefault="00534FE4" w:rsidP="00DF6735">
            <w:pPr>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lastRenderedPageBreak/>
              <w:t>Indikatori sektorskog cilja</w:t>
            </w:r>
          </w:p>
        </w:tc>
        <w:tc>
          <w:tcPr>
            <w:tcW w:w="2446" w:type="dxa"/>
            <w:gridSpan w:val="3"/>
            <w:tcBorders>
              <w:top w:val="single" w:sz="4" w:space="0" w:color="000000"/>
              <w:left w:val="single" w:sz="4" w:space="0" w:color="000000"/>
              <w:right w:val="single" w:sz="4" w:space="0" w:color="000000"/>
            </w:tcBorders>
            <w:shd w:val="clear" w:color="auto" w:fill="auto"/>
            <w:vAlign w:val="center"/>
          </w:tcPr>
          <w:p w14:paraId="7589B5C6" w14:textId="77777777" w:rsidR="00534FE4" w:rsidRPr="00D23213" w:rsidRDefault="00534FE4" w:rsidP="00534FE4">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Dokumentacija za izgradnju postrojenja za prečišćavanje otpadnih voda</w:t>
            </w:r>
          </w:p>
          <w:p w14:paraId="3F0F595A" w14:textId="77777777" w:rsidR="00534FE4" w:rsidRPr="00D23213" w:rsidRDefault="00534FE4" w:rsidP="00534FE4">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 xml:space="preserve">Broj domaćinstava obuhvaćenih sistemom </w:t>
            </w:r>
            <w:r w:rsidRPr="00D23213">
              <w:rPr>
                <w:rFonts w:asciiTheme="minorHAnsi" w:hAnsiTheme="minorHAnsi" w:cstheme="minorHAnsi"/>
                <w:noProof/>
                <w:sz w:val="20"/>
                <w:szCs w:val="20"/>
                <w:lang w:val="sr-Cyrl-CS"/>
              </w:rPr>
              <w:lastRenderedPageBreak/>
              <w:t xml:space="preserve">organizovanog prikupljanja čvrstog otpada </w:t>
            </w:r>
          </w:p>
          <w:p w14:paraId="4AE3A53D" w14:textId="77777777" w:rsidR="00534FE4" w:rsidRPr="00D23213" w:rsidRDefault="00534FE4" w:rsidP="00534FE4">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Prihod od prodaje reciklažnog otpada</w:t>
            </w:r>
          </w:p>
          <w:p w14:paraId="1A47034F" w14:textId="77777777" w:rsidR="00534FE4" w:rsidRPr="00D23213" w:rsidRDefault="00534FE4" w:rsidP="00534FE4">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Količina recikliranog čvrstog otpada</w:t>
            </w:r>
          </w:p>
          <w:p w14:paraId="7C5E5EF7" w14:textId="3156A1A0" w:rsidR="00534FE4" w:rsidRPr="00D23213" w:rsidRDefault="00534FE4" w:rsidP="00534FE4">
            <w:pPr>
              <w:numPr>
                <w:ilvl w:val="0"/>
                <w:numId w:val="27"/>
              </w:numPr>
              <w:tabs>
                <w:tab w:val="clear" w:pos="720"/>
              </w:tabs>
              <w:ind w:left="269" w:hanging="269"/>
              <w:jc w:val="both"/>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sr-Cyrl-CS"/>
              </w:rPr>
              <w:t>Stepen opasnosti od zoonoza</w:t>
            </w:r>
          </w:p>
        </w:tc>
      </w:tr>
      <w:tr w:rsidR="00534FE4" w:rsidRPr="00D23213" w14:paraId="65C9182E" w14:textId="77777777" w:rsidTr="00DF6735">
        <w:trPr>
          <w:trHeight w:val="213"/>
          <w:jc w:val="center"/>
        </w:trPr>
        <w:tc>
          <w:tcPr>
            <w:tcW w:w="1754" w:type="dxa"/>
            <w:vMerge w:val="restart"/>
            <w:tcBorders>
              <w:left w:val="single" w:sz="4" w:space="0" w:color="000000"/>
              <w:right w:val="single" w:sz="4" w:space="0" w:color="000000"/>
            </w:tcBorders>
            <w:shd w:val="clear" w:color="auto" w:fill="DEEAF6"/>
            <w:vAlign w:val="center"/>
          </w:tcPr>
          <w:p w14:paraId="5996C6D0" w14:textId="23A5E1B4" w:rsidR="00534FE4" w:rsidRPr="00D23213" w:rsidRDefault="00534FE4" w:rsidP="00DF6735">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lastRenderedPageBreak/>
              <w:t>3.1.1.Program</w:t>
            </w:r>
          </w:p>
        </w:tc>
        <w:tc>
          <w:tcPr>
            <w:tcW w:w="12233" w:type="dxa"/>
            <w:gridSpan w:val="8"/>
            <w:tcBorders>
              <w:left w:val="single" w:sz="4" w:space="0" w:color="000000"/>
              <w:right w:val="single" w:sz="4" w:space="0" w:color="000000"/>
            </w:tcBorders>
            <w:vAlign w:val="center"/>
          </w:tcPr>
          <w:p w14:paraId="0855FC9F" w14:textId="54E7C91B" w:rsidR="00534FE4" w:rsidRPr="00D23213" w:rsidRDefault="00534FE4" w:rsidP="00DF6735">
            <w:pPr>
              <w:spacing w:before="120"/>
              <w:jc w:val="center"/>
              <w:rPr>
                <w:rFonts w:asciiTheme="minorHAnsi" w:hAnsiTheme="minorHAnsi" w:cstheme="minorHAnsi"/>
                <w:b/>
                <w:noProof/>
                <w:color w:val="FF0000"/>
                <w:sz w:val="20"/>
                <w:szCs w:val="20"/>
                <w:lang w:val="bs-Latn-BA"/>
              </w:rPr>
            </w:pPr>
            <w:r w:rsidRPr="00D23213">
              <w:rPr>
                <w:rFonts w:asciiTheme="minorHAnsi" w:hAnsiTheme="minorHAnsi" w:cstheme="minorHAnsi"/>
                <w:b/>
                <w:noProof/>
                <w:sz w:val="20"/>
                <w:szCs w:val="20"/>
                <w:lang w:val="sr-Cyrl-BA"/>
              </w:rPr>
              <w:t>Izgradnja kapaciteta za zbrinjavanje otpada</w:t>
            </w:r>
          </w:p>
        </w:tc>
      </w:tr>
      <w:tr w:rsidR="00534FE4" w:rsidRPr="00D23213" w14:paraId="43E8377F" w14:textId="77777777" w:rsidTr="0024605E">
        <w:trPr>
          <w:trHeight w:val="213"/>
          <w:jc w:val="center"/>
        </w:trPr>
        <w:tc>
          <w:tcPr>
            <w:tcW w:w="1754" w:type="dxa"/>
            <w:vMerge/>
            <w:tcBorders>
              <w:left w:val="single" w:sz="4" w:space="0" w:color="000000"/>
              <w:right w:val="single" w:sz="4" w:space="0" w:color="000000"/>
            </w:tcBorders>
            <w:shd w:val="clear" w:color="auto" w:fill="DEEAF6"/>
            <w:vAlign w:val="center"/>
          </w:tcPr>
          <w:p w14:paraId="6EB1944B" w14:textId="77777777" w:rsidR="00534FE4" w:rsidRPr="00D23213" w:rsidRDefault="00534FE4" w:rsidP="00534FE4">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tcPr>
          <w:p w14:paraId="2D92FD8E" w14:textId="53439FDE" w:rsidR="00534FE4" w:rsidRPr="00D23213" w:rsidRDefault="00534FE4" w:rsidP="00534FE4">
            <w:pPr>
              <w:rPr>
                <w:rFonts w:asciiTheme="minorHAnsi" w:hAnsiTheme="minorHAnsi" w:cstheme="minorHAnsi"/>
                <w:noProof/>
                <w:sz w:val="20"/>
                <w:szCs w:val="20"/>
                <w:lang w:val="bs-Latn-BA"/>
              </w:rPr>
            </w:pPr>
            <w:r w:rsidRPr="00D23213">
              <w:rPr>
                <w:rFonts w:asciiTheme="minorHAnsi" w:hAnsiTheme="minorHAnsi" w:cstheme="minorHAnsi"/>
                <w:sz w:val="20"/>
                <w:szCs w:val="20"/>
              </w:rPr>
              <w:t>3.1.1.1. Projekat Izgradnja pretovarne stanice čvrstog otpada za opštinu Prnjavor</w:t>
            </w:r>
          </w:p>
        </w:tc>
        <w:tc>
          <w:tcPr>
            <w:tcW w:w="2970" w:type="dxa"/>
            <w:gridSpan w:val="2"/>
            <w:tcBorders>
              <w:left w:val="single" w:sz="4" w:space="0" w:color="000000"/>
              <w:right w:val="single" w:sz="4" w:space="0" w:color="000000"/>
            </w:tcBorders>
          </w:tcPr>
          <w:p w14:paraId="13D4F4BA" w14:textId="3556E353" w:rsidR="00534FE4" w:rsidRPr="00D23213" w:rsidRDefault="00534FE4" w:rsidP="00534FE4">
            <w:pPr>
              <w:rPr>
                <w:rFonts w:asciiTheme="minorHAnsi" w:hAnsiTheme="minorHAnsi" w:cstheme="minorHAnsi"/>
                <w:b/>
                <w:noProof/>
                <w:sz w:val="20"/>
                <w:szCs w:val="20"/>
                <w:lang w:val="bs-Latn-BA"/>
              </w:rPr>
            </w:pPr>
            <w:r w:rsidRPr="00D23213">
              <w:rPr>
                <w:rFonts w:asciiTheme="minorHAnsi" w:hAnsiTheme="minorHAnsi" w:cstheme="minorHAnsi"/>
                <w:noProof/>
                <w:sz w:val="20"/>
                <w:szCs w:val="20"/>
              </w:rPr>
              <w:t>Uspostavljena funkcionalna pretovarna stanica</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BD3A57" w14:textId="77777777" w:rsidR="00534FE4" w:rsidRPr="00D23213" w:rsidRDefault="00534FE4" w:rsidP="00534FE4">
            <w:pPr>
              <w:spacing w:before="120"/>
              <w:jc w:val="center"/>
              <w:rPr>
                <w:rFonts w:asciiTheme="minorHAnsi" w:hAnsiTheme="minorHAnsi" w:cstheme="minorHAnsi"/>
                <w:noProof/>
                <w:sz w:val="20"/>
                <w:szCs w:val="20"/>
                <w:lang w:val="bs-Latn-BA"/>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5741357" w14:textId="77777777" w:rsidR="00534FE4" w:rsidRPr="00D23213" w:rsidRDefault="00534FE4" w:rsidP="00534FE4">
            <w:pPr>
              <w:spacing w:before="120"/>
              <w:jc w:val="center"/>
              <w:rPr>
                <w:rFonts w:asciiTheme="minorHAnsi" w:hAnsiTheme="minorHAnsi" w:cstheme="minorHAnsi"/>
                <w:noProof/>
                <w:sz w:val="20"/>
                <w:szCs w:val="20"/>
                <w:lang w:val="bs-Latn-BA"/>
              </w:rPr>
            </w:pP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6116D4A2" w14:textId="1D83497E" w:rsidR="00534FE4" w:rsidRPr="00D23213" w:rsidRDefault="007B7C4C" w:rsidP="00534FE4">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100,000</w:t>
            </w:r>
          </w:p>
        </w:tc>
      </w:tr>
      <w:tr w:rsidR="00534FE4" w:rsidRPr="00D23213" w14:paraId="5C7E6A91" w14:textId="77777777" w:rsidTr="0024605E">
        <w:trPr>
          <w:trHeight w:val="213"/>
          <w:jc w:val="center"/>
        </w:trPr>
        <w:tc>
          <w:tcPr>
            <w:tcW w:w="1754" w:type="dxa"/>
            <w:vMerge/>
            <w:tcBorders>
              <w:left w:val="single" w:sz="4" w:space="0" w:color="000000"/>
              <w:right w:val="single" w:sz="4" w:space="0" w:color="000000"/>
            </w:tcBorders>
            <w:shd w:val="clear" w:color="auto" w:fill="DEEAF6"/>
            <w:vAlign w:val="center"/>
          </w:tcPr>
          <w:p w14:paraId="3EA5EB83" w14:textId="77777777" w:rsidR="00534FE4" w:rsidRPr="00D23213" w:rsidRDefault="00534FE4" w:rsidP="00534FE4">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tcPr>
          <w:p w14:paraId="7E48DB66" w14:textId="6F088C09" w:rsidR="00534FE4" w:rsidRPr="00D23213" w:rsidRDefault="00534FE4" w:rsidP="00534FE4">
            <w:pPr>
              <w:rPr>
                <w:rFonts w:asciiTheme="minorHAnsi" w:hAnsiTheme="minorHAnsi" w:cstheme="minorHAnsi"/>
                <w:noProof/>
                <w:sz w:val="20"/>
                <w:szCs w:val="20"/>
                <w:lang w:val="bs-Latn-BA"/>
              </w:rPr>
            </w:pPr>
            <w:r w:rsidRPr="00D23213">
              <w:rPr>
                <w:rFonts w:asciiTheme="minorHAnsi" w:hAnsiTheme="minorHAnsi" w:cstheme="minorHAnsi"/>
                <w:sz w:val="20"/>
                <w:szCs w:val="20"/>
              </w:rPr>
              <w:t>3.1.1.2. Projekat</w:t>
            </w:r>
            <w:r w:rsidRPr="00D23213">
              <w:rPr>
                <w:rFonts w:asciiTheme="minorHAnsi" w:hAnsiTheme="minorHAnsi" w:cstheme="minorHAnsi"/>
                <w:sz w:val="20"/>
                <w:szCs w:val="20"/>
                <w:lang w:val="hr-HR"/>
              </w:rPr>
              <w:t xml:space="preserve"> Formiranje centra za sakupljanje otpada pogodnog za reciklažu</w:t>
            </w:r>
          </w:p>
        </w:tc>
        <w:tc>
          <w:tcPr>
            <w:tcW w:w="2970" w:type="dxa"/>
            <w:gridSpan w:val="2"/>
            <w:tcBorders>
              <w:left w:val="single" w:sz="4" w:space="0" w:color="000000"/>
              <w:right w:val="single" w:sz="4" w:space="0" w:color="000000"/>
            </w:tcBorders>
          </w:tcPr>
          <w:p w14:paraId="4C15DDF3" w14:textId="615BC5C9" w:rsidR="00534FE4" w:rsidRPr="00D23213" w:rsidRDefault="00534FE4" w:rsidP="00534FE4">
            <w:pPr>
              <w:rPr>
                <w:rFonts w:asciiTheme="minorHAnsi" w:hAnsiTheme="minorHAnsi" w:cstheme="minorHAnsi"/>
                <w:b/>
                <w:noProof/>
                <w:sz w:val="20"/>
                <w:szCs w:val="20"/>
                <w:lang w:val="bs-Latn-BA"/>
              </w:rPr>
            </w:pPr>
            <w:r w:rsidRPr="00D23213">
              <w:rPr>
                <w:rFonts w:asciiTheme="minorHAnsi" w:hAnsiTheme="minorHAnsi" w:cstheme="minorHAnsi"/>
                <w:noProof/>
                <w:sz w:val="20"/>
                <w:szCs w:val="20"/>
              </w:rPr>
              <w:t>Uspostavljen centar za sakupljanje otpada pogodnog za reciklažu</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F0A3E4" w14:textId="77777777" w:rsidR="00534FE4" w:rsidRPr="00D23213" w:rsidRDefault="00534FE4" w:rsidP="00534FE4">
            <w:pPr>
              <w:spacing w:before="120"/>
              <w:jc w:val="center"/>
              <w:rPr>
                <w:rFonts w:asciiTheme="minorHAnsi" w:hAnsiTheme="minorHAnsi" w:cstheme="minorHAnsi"/>
                <w:noProof/>
                <w:sz w:val="20"/>
                <w:szCs w:val="20"/>
                <w:lang w:val="bs-Latn-BA"/>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3CC6242" w14:textId="77777777" w:rsidR="00534FE4" w:rsidRPr="00D23213" w:rsidRDefault="00534FE4" w:rsidP="00534FE4">
            <w:pPr>
              <w:spacing w:before="120"/>
              <w:jc w:val="center"/>
              <w:rPr>
                <w:rFonts w:asciiTheme="minorHAnsi" w:hAnsiTheme="minorHAnsi" w:cstheme="minorHAnsi"/>
                <w:noProof/>
                <w:sz w:val="20"/>
                <w:szCs w:val="20"/>
                <w:lang w:val="bs-Latn-BA"/>
              </w:rPr>
            </w:pP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22E23E58" w14:textId="3F6AE919" w:rsidR="00534FE4" w:rsidRPr="00D23213" w:rsidRDefault="007B7C4C" w:rsidP="00534FE4">
            <w:pPr>
              <w:spacing w:before="120"/>
              <w:jc w:val="cente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bs-Latn-BA"/>
              </w:rPr>
              <w:t>100,000</w:t>
            </w:r>
          </w:p>
        </w:tc>
      </w:tr>
      <w:tr w:rsidR="00534FE4" w:rsidRPr="00D23213" w14:paraId="53C70379" w14:textId="77777777" w:rsidTr="0024605E">
        <w:trPr>
          <w:trHeight w:val="213"/>
          <w:jc w:val="center"/>
        </w:trPr>
        <w:tc>
          <w:tcPr>
            <w:tcW w:w="1754" w:type="dxa"/>
            <w:vMerge/>
            <w:tcBorders>
              <w:left w:val="single" w:sz="4" w:space="0" w:color="000000"/>
              <w:right w:val="single" w:sz="4" w:space="0" w:color="000000"/>
            </w:tcBorders>
            <w:shd w:val="clear" w:color="auto" w:fill="DEEAF6"/>
            <w:vAlign w:val="center"/>
          </w:tcPr>
          <w:p w14:paraId="78CB2A25" w14:textId="77777777" w:rsidR="00534FE4" w:rsidRPr="00D23213" w:rsidRDefault="00534FE4" w:rsidP="00534FE4">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tcPr>
          <w:p w14:paraId="251CB5BE" w14:textId="01D0F261" w:rsidR="00534FE4" w:rsidRPr="00D23213" w:rsidRDefault="00534FE4" w:rsidP="00534FE4">
            <w:pPr>
              <w:rPr>
                <w:rFonts w:asciiTheme="minorHAnsi" w:hAnsiTheme="minorHAnsi" w:cstheme="minorHAnsi"/>
                <w:b/>
                <w:noProof/>
                <w:sz w:val="20"/>
                <w:szCs w:val="20"/>
                <w:lang w:val="bs-Latn-BA"/>
              </w:rPr>
            </w:pPr>
            <w:r w:rsidRPr="00D23213">
              <w:rPr>
                <w:rFonts w:asciiTheme="minorHAnsi" w:hAnsiTheme="minorHAnsi" w:cstheme="minorHAnsi"/>
                <w:sz w:val="20"/>
                <w:szCs w:val="20"/>
              </w:rPr>
              <w:t>3.1.1.3. Projekat Azil za životinje</w:t>
            </w:r>
          </w:p>
        </w:tc>
        <w:tc>
          <w:tcPr>
            <w:tcW w:w="2970" w:type="dxa"/>
            <w:gridSpan w:val="2"/>
            <w:tcBorders>
              <w:left w:val="single" w:sz="4" w:space="0" w:color="000000"/>
              <w:right w:val="single" w:sz="4" w:space="0" w:color="000000"/>
            </w:tcBorders>
          </w:tcPr>
          <w:p w14:paraId="59750DDE" w14:textId="18BF99AC" w:rsidR="00534FE4" w:rsidRPr="00D23213" w:rsidRDefault="00534FE4" w:rsidP="00534FE4">
            <w:pP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en-US"/>
              </w:rPr>
              <w:t>Uspostavljen azil za životinje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A1E14D" w14:textId="77777777" w:rsidR="00534FE4" w:rsidRPr="00D23213" w:rsidRDefault="00534FE4" w:rsidP="00534FE4">
            <w:pPr>
              <w:spacing w:before="120"/>
              <w:jc w:val="center"/>
              <w:rPr>
                <w:rFonts w:asciiTheme="minorHAnsi" w:hAnsiTheme="minorHAnsi" w:cstheme="minorHAnsi"/>
                <w:noProof/>
                <w:sz w:val="20"/>
                <w:szCs w:val="20"/>
                <w:lang w:val="bs-Latn-BA"/>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F4D3724" w14:textId="77777777" w:rsidR="00534FE4" w:rsidRPr="00D23213" w:rsidRDefault="00534FE4" w:rsidP="00534FE4">
            <w:pPr>
              <w:spacing w:before="120"/>
              <w:jc w:val="center"/>
              <w:rPr>
                <w:rFonts w:asciiTheme="minorHAnsi" w:hAnsiTheme="minorHAnsi" w:cstheme="minorHAnsi"/>
                <w:noProof/>
                <w:sz w:val="20"/>
                <w:szCs w:val="20"/>
                <w:lang w:val="bs-Latn-BA"/>
              </w:rPr>
            </w:pP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404936C5" w14:textId="72C701F6" w:rsidR="00534FE4" w:rsidRPr="00D23213" w:rsidRDefault="007B7C4C" w:rsidP="00534FE4">
            <w:pPr>
              <w:spacing w:before="120"/>
              <w:jc w:val="center"/>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bs-Latn-BA"/>
              </w:rPr>
              <w:t>150,000</w:t>
            </w:r>
          </w:p>
        </w:tc>
      </w:tr>
      <w:tr w:rsidR="00534FE4" w:rsidRPr="00D23213" w14:paraId="7BDCC224" w14:textId="77777777" w:rsidTr="0024605E">
        <w:trPr>
          <w:trHeight w:val="213"/>
          <w:jc w:val="center"/>
        </w:trPr>
        <w:tc>
          <w:tcPr>
            <w:tcW w:w="1754" w:type="dxa"/>
            <w:vMerge/>
            <w:tcBorders>
              <w:left w:val="single" w:sz="4" w:space="0" w:color="000000"/>
              <w:right w:val="single" w:sz="4" w:space="0" w:color="000000"/>
            </w:tcBorders>
            <w:shd w:val="clear" w:color="auto" w:fill="DEEAF6"/>
            <w:vAlign w:val="center"/>
          </w:tcPr>
          <w:p w14:paraId="14DD25FB" w14:textId="77777777" w:rsidR="00534FE4" w:rsidRPr="00D23213" w:rsidRDefault="00534FE4" w:rsidP="00534FE4">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tcPr>
          <w:p w14:paraId="0306CCAE" w14:textId="3E08DC82" w:rsidR="00534FE4" w:rsidRPr="00D23213" w:rsidRDefault="00534FE4" w:rsidP="00534FE4">
            <w:pPr>
              <w:rPr>
                <w:rFonts w:asciiTheme="minorHAnsi" w:hAnsiTheme="minorHAnsi" w:cstheme="minorHAnsi"/>
                <w:b/>
                <w:noProof/>
                <w:sz w:val="20"/>
                <w:szCs w:val="20"/>
                <w:lang w:val="bs-Latn-BA"/>
              </w:rPr>
            </w:pPr>
            <w:r w:rsidRPr="00D23213">
              <w:rPr>
                <w:rFonts w:asciiTheme="minorHAnsi" w:hAnsiTheme="minorHAnsi" w:cstheme="minorHAnsi"/>
                <w:sz w:val="20"/>
                <w:szCs w:val="20"/>
              </w:rPr>
              <w:t>3.1.1.4. Projekat Uređenje i razvoj rekreativne zone „Ljubić“</w:t>
            </w:r>
          </w:p>
        </w:tc>
        <w:tc>
          <w:tcPr>
            <w:tcW w:w="2970" w:type="dxa"/>
            <w:gridSpan w:val="2"/>
            <w:tcBorders>
              <w:left w:val="single" w:sz="4" w:space="0" w:color="000000"/>
              <w:right w:val="single" w:sz="4" w:space="0" w:color="000000"/>
            </w:tcBorders>
          </w:tcPr>
          <w:p w14:paraId="36E6CF0E" w14:textId="0977134F" w:rsidR="00534FE4" w:rsidRPr="00D23213" w:rsidRDefault="00534FE4" w:rsidP="00534FE4">
            <w:pPr>
              <w:rPr>
                <w:rFonts w:asciiTheme="minorHAnsi" w:hAnsiTheme="minorHAnsi" w:cstheme="minorHAnsi"/>
                <w:b/>
                <w:noProof/>
                <w:sz w:val="20"/>
                <w:szCs w:val="20"/>
                <w:lang w:val="bs-Latn-BA"/>
              </w:rPr>
            </w:pPr>
            <w:r w:rsidRPr="00D23213">
              <w:rPr>
                <w:rFonts w:asciiTheme="minorHAnsi" w:hAnsiTheme="minorHAnsi" w:cstheme="minorHAnsi"/>
                <w:noProof/>
                <w:sz w:val="20"/>
                <w:szCs w:val="20"/>
              </w:rPr>
              <w:t xml:space="preserve">Uspostavljen </w:t>
            </w:r>
            <w:r w:rsidRPr="00D23213">
              <w:rPr>
                <w:rFonts w:asciiTheme="minorHAnsi" w:hAnsiTheme="minorHAnsi" w:cstheme="minorHAnsi"/>
                <w:sz w:val="20"/>
                <w:szCs w:val="20"/>
              </w:rPr>
              <w:t>ekološki informaciono – edukativni centar opštine Prnjavor čije usluge koristi najmanje X mladih i X organizacija godišnje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A22D7F" w14:textId="77777777" w:rsidR="00534FE4" w:rsidRPr="00D23213" w:rsidRDefault="00534FE4" w:rsidP="00534FE4">
            <w:pPr>
              <w:spacing w:before="120"/>
              <w:jc w:val="center"/>
              <w:rPr>
                <w:rFonts w:asciiTheme="minorHAnsi" w:hAnsiTheme="minorHAnsi" w:cstheme="minorHAnsi"/>
                <w:noProof/>
                <w:sz w:val="20"/>
                <w:szCs w:val="20"/>
                <w:lang w:val="bs-Latn-BA"/>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BB830B7" w14:textId="77777777" w:rsidR="00534FE4" w:rsidRPr="00D23213" w:rsidRDefault="00534FE4" w:rsidP="00534FE4">
            <w:pPr>
              <w:spacing w:before="120"/>
              <w:jc w:val="center"/>
              <w:rPr>
                <w:rFonts w:asciiTheme="minorHAnsi" w:hAnsiTheme="minorHAnsi" w:cstheme="minorHAnsi"/>
                <w:noProof/>
                <w:sz w:val="20"/>
                <w:szCs w:val="20"/>
                <w:lang w:val="bs-Latn-BA"/>
              </w:rPr>
            </w:pP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04318C37" w14:textId="4B4886BD" w:rsidR="00534FE4" w:rsidRPr="00D23213" w:rsidRDefault="007B7C4C" w:rsidP="00534FE4">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24,185</w:t>
            </w:r>
          </w:p>
        </w:tc>
      </w:tr>
      <w:tr w:rsidR="00534FE4" w:rsidRPr="00D23213" w14:paraId="201B6686" w14:textId="77777777" w:rsidTr="0024605E">
        <w:trPr>
          <w:trHeight w:val="213"/>
          <w:jc w:val="center"/>
        </w:trPr>
        <w:tc>
          <w:tcPr>
            <w:tcW w:w="1754" w:type="dxa"/>
            <w:vMerge/>
            <w:tcBorders>
              <w:left w:val="single" w:sz="4" w:space="0" w:color="000000"/>
              <w:right w:val="single" w:sz="4" w:space="0" w:color="000000"/>
            </w:tcBorders>
            <w:shd w:val="clear" w:color="auto" w:fill="DEEAF6"/>
            <w:vAlign w:val="center"/>
          </w:tcPr>
          <w:p w14:paraId="5F10C6B4" w14:textId="77777777" w:rsidR="00534FE4" w:rsidRPr="00D23213" w:rsidRDefault="00534FE4" w:rsidP="00534FE4">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tcPr>
          <w:p w14:paraId="21A3C953" w14:textId="23715602" w:rsidR="00534FE4" w:rsidRPr="00D23213" w:rsidRDefault="00534FE4" w:rsidP="00534FE4">
            <w:pPr>
              <w:rPr>
                <w:rFonts w:asciiTheme="minorHAnsi" w:hAnsiTheme="minorHAnsi" w:cstheme="minorHAnsi"/>
                <w:noProof/>
                <w:sz w:val="20"/>
                <w:szCs w:val="20"/>
                <w:lang w:val="bs-Latn-BA"/>
              </w:rPr>
            </w:pPr>
            <w:r w:rsidRPr="00D23213">
              <w:rPr>
                <w:rFonts w:asciiTheme="minorHAnsi" w:hAnsiTheme="minorHAnsi" w:cstheme="minorHAnsi"/>
                <w:sz w:val="20"/>
                <w:szCs w:val="20"/>
              </w:rPr>
              <w:t>3.1.1.5. Projekat Izrada opštinskog plana upravljanja otpadom</w:t>
            </w:r>
          </w:p>
        </w:tc>
        <w:tc>
          <w:tcPr>
            <w:tcW w:w="2970" w:type="dxa"/>
            <w:gridSpan w:val="2"/>
            <w:tcBorders>
              <w:left w:val="single" w:sz="4" w:space="0" w:color="000000"/>
              <w:right w:val="single" w:sz="4" w:space="0" w:color="000000"/>
            </w:tcBorders>
          </w:tcPr>
          <w:p w14:paraId="236F3824" w14:textId="382C7D8A" w:rsidR="00534FE4" w:rsidRPr="00D23213" w:rsidRDefault="00534FE4" w:rsidP="00534FE4">
            <w:pPr>
              <w:rPr>
                <w:rFonts w:asciiTheme="minorHAnsi" w:hAnsiTheme="minorHAnsi" w:cstheme="minorHAnsi"/>
                <w:b/>
                <w:noProof/>
                <w:sz w:val="20"/>
                <w:szCs w:val="20"/>
                <w:lang w:val="bs-Latn-BA"/>
              </w:rPr>
            </w:pPr>
            <w:r w:rsidRPr="00D23213">
              <w:rPr>
                <w:rFonts w:asciiTheme="minorHAnsi" w:hAnsiTheme="minorHAnsi" w:cstheme="minorHAnsi"/>
                <w:noProof/>
                <w:sz w:val="20"/>
                <w:szCs w:val="20"/>
              </w:rPr>
              <w:t>Izrađen i usvojen dokument</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C97F63" w14:textId="77777777" w:rsidR="00534FE4" w:rsidRPr="00D23213" w:rsidRDefault="00534FE4" w:rsidP="00534FE4">
            <w:pPr>
              <w:spacing w:before="120"/>
              <w:jc w:val="center"/>
              <w:rPr>
                <w:rFonts w:asciiTheme="minorHAnsi" w:hAnsiTheme="minorHAnsi" w:cstheme="minorHAnsi"/>
                <w:noProof/>
                <w:sz w:val="20"/>
                <w:szCs w:val="20"/>
                <w:lang w:val="bs-Latn-BA"/>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928EFA6" w14:textId="77777777" w:rsidR="00534FE4" w:rsidRPr="00D23213" w:rsidRDefault="00534FE4" w:rsidP="00534FE4">
            <w:pPr>
              <w:spacing w:before="120"/>
              <w:jc w:val="center"/>
              <w:rPr>
                <w:rFonts w:asciiTheme="minorHAnsi" w:hAnsiTheme="minorHAnsi" w:cstheme="minorHAnsi"/>
                <w:noProof/>
                <w:sz w:val="20"/>
                <w:szCs w:val="20"/>
                <w:lang w:val="bs-Latn-BA"/>
              </w:rPr>
            </w:pP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127EA8B8" w14:textId="36339A0C" w:rsidR="00534FE4" w:rsidRPr="00D23213" w:rsidRDefault="007B7C4C" w:rsidP="00534FE4">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10,000</w:t>
            </w:r>
          </w:p>
        </w:tc>
      </w:tr>
      <w:tr w:rsidR="00534FE4" w:rsidRPr="00D23213" w14:paraId="1124CF98" w14:textId="77777777" w:rsidTr="00DF6735">
        <w:trPr>
          <w:trHeight w:val="787"/>
          <w:jc w:val="center"/>
        </w:trPr>
        <w:tc>
          <w:tcPr>
            <w:tcW w:w="1754" w:type="dxa"/>
            <w:tcBorders>
              <w:left w:val="single" w:sz="4" w:space="0" w:color="000000"/>
              <w:right w:val="single" w:sz="4" w:space="0" w:color="000000"/>
            </w:tcBorders>
            <w:shd w:val="clear" w:color="auto" w:fill="8EAADB"/>
            <w:vAlign w:val="center"/>
          </w:tcPr>
          <w:p w14:paraId="58DE8AC2" w14:textId="6034BB5F" w:rsidR="00534FE4" w:rsidRPr="00D23213" w:rsidRDefault="00534FE4" w:rsidP="00DF6735">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3.2. Sektorski cilj</w:t>
            </w:r>
          </w:p>
        </w:tc>
        <w:tc>
          <w:tcPr>
            <w:tcW w:w="3757" w:type="dxa"/>
            <w:tcBorders>
              <w:left w:val="single" w:sz="4" w:space="0" w:color="000000"/>
              <w:right w:val="single" w:sz="4" w:space="0" w:color="000000"/>
            </w:tcBorders>
            <w:vAlign w:val="center"/>
          </w:tcPr>
          <w:p w14:paraId="6C7E1D86" w14:textId="67AB44C2" w:rsidR="00534FE4" w:rsidRPr="00D23213" w:rsidRDefault="00B67574" w:rsidP="00DF6735">
            <w:pPr>
              <w:rPr>
                <w:rFonts w:asciiTheme="minorHAnsi" w:hAnsiTheme="minorHAnsi" w:cstheme="minorHAnsi"/>
                <w:b/>
                <w:noProof/>
                <w:color w:val="FF0000"/>
                <w:sz w:val="20"/>
                <w:szCs w:val="20"/>
                <w:lang w:val="bs-Latn-BA"/>
              </w:rPr>
            </w:pPr>
            <w:r w:rsidRPr="00D23213">
              <w:rPr>
                <w:rFonts w:asciiTheme="minorHAnsi" w:hAnsiTheme="minorHAnsi" w:cstheme="minorHAnsi"/>
                <w:b/>
                <w:bCs/>
                <w:sz w:val="20"/>
                <w:szCs w:val="20"/>
              </w:rPr>
              <w:t>Poboljšana energetska efikasnost javnih objekata i unapređeni kapaciteti za korištenje obnovljivih izvora energije do 2020. godine</w:t>
            </w:r>
          </w:p>
        </w:tc>
        <w:tc>
          <w:tcPr>
            <w:tcW w:w="1620" w:type="dxa"/>
            <w:tcBorders>
              <w:left w:val="single" w:sz="4" w:space="0" w:color="000000"/>
              <w:right w:val="single" w:sz="4" w:space="0" w:color="000000"/>
            </w:tcBorders>
            <w:shd w:val="clear" w:color="auto" w:fill="8EAADB"/>
            <w:vAlign w:val="center"/>
          </w:tcPr>
          <w:p w14:paraId="3D3F90D8" w14:textId="77777777" w:rsidR="00534FE4" w:rsidRPr="00D23213" w:rsidRDefault="00534FE4" w:rsidP="00DF6735">
            <w:pPr>
              <w:spacing w:before="40"/>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14:paraId="5F6B6EEF" w14:textId="77777777" w:rsidR="00B67574" w:rsidRPr="00D23213" w:rsidRDefault="00B67574" w:rsidP="00B67574">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 xml:space="preserve">Najmanje 30% javnih objekata koristi obnovljive izvore energije za grijanje do 2020. </w:t>
            </w:r>
          </w:p>
          <w:p w14:paraId="4BEE74E1" w14:textId="378B9FB1" w:rsidR="00534FE4" w:rsidRPr="00D23213" w:rsidRDefault="00B67574" w:rsidP="00B67574">
            <w:pPr>
              <w:numPr>
                <w:ilvl w:val="0"/>
                <w:numId w:val="27"/>
              </w:numPr>
              <w:tabs>
                <w:tab w:val="clear" w:pos="720"/>
              </w:tabs>
              <w:ind w:left="269" w:hanging="269"/>
              <w:jc w:val="both"/>
              <w:rPr>
                <w:rFonts w:asciiTheme="minorHAnsi" w:hAnsiTheme="minorHAnsi" w:cstheme="minorHAnsi"/>
                <w:noProof/>
                <w:color w:val="FF0000"/>
                <w:sz w:val="20"/>
                <w:szCs w:val="20"/>
                <w:lang w:val="bs-Latn-BA"/>
              </w:rPr>
            </w:pPr>
            <w:r w:rsidRPr="00D23213">
              <w:rPr>
                <w:rFonts w:asciiTheme="minorHAnsi" w:hAnsiTheme="minorHAnsi" w:cstheme="minorHAnsi"/>
                <w:noProof/>
                <w:sz w:val="20"/>
                <w:szCs w:val="20"/>
                <w:lang w:val="sr-Cyrl-CS"/>
              </w:rPr>
              <w:t>Smanjena potrošnja energenta za zagrijavanje javnih objekata za 40% do 2020. u odnosu na 2017. godinu</w:t>
            </w:r>
          </w:p>
        </w:tc>
        <w:tc>
          <w:tcPr>
            <w:tcW w:w="1170" w:type="dxa"/>
            <w:tcBorders>
              <w:top w:val="single" w:sz="4" w:space="0" w:color="000000"/>
              <w:left w:val="single" w:sz="4" w:space="0" w:color="000000"/>
              <w:right w:val="single" w:sz="4" w:space="0" w:color="000000"/>
            </w:tcBorders>
            <w:shd w:val="clear" w:color="auto" w:fill="8EAADB"/>
            <w:vAlign w:val="center"/>
          </w:tcPr>
          <w:p w14:paraId="1606BB5A" w14:textId="77777777" w:rsidR="00534FE4" w:rsidRPr="00D23213" w:rsidRDefault="00534FE4" w:rsidP="00DF6735">
            <w:pPr>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vAlign w:val="center"/>
          </w:tcPr>
          <w:p w14:paraId="79B51345" w14:textId="77777777" w:rsidR="00B67574" w:rsidRPr="00D23213" w:rsidRDefault="00B67574" w:rsidP="00B67574">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Broj javnih objekata koji koriste obnovljive izvore energije za grijanje</w:t>
            </w:r>
          </w:p>
          <w:p w14:paraId="7444DED0" w14:textId="32B1379A" w:rsidR="00534FE4" w:rsidRPr="00D23213" w:rsidRDefault="00B67574" w:rsidP="00B67574">
            <w:pPr>
              <w:numPr>
                <w:ilvl w:val="0"/>
                <w:numId w:val="27"/>
              </w:numPr>
              <w:tabs>
                <w:tab w:val="clear" w:pos="720"/>
              </w:tabs>
              <w:ind w:left="269" w:hanging="269"/>
              <w:jc w:val="both"/>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sr-Cyrl-CS"/>
              </w:rPr>
              <w:t>Potrošnja energenta za zagrijavanje javnih objekata</w:t>
            </w:r>
          </w:p>
        </w:tc>
      </w:tr>
      <w:tr w:rsidR="00534FE4" w:rsidRPr="00D23213" w14:paraId="013A3255" w14:textId="77777777" w:rsidTr="00DF6735">
        <w:trPr>
          <w:trHeight w:val="213"/>
          <w:jc w:val="center"/>
        </w:trPr>
        <w:tc>
          <w:tcPr>
            <w:tcW w:w="1754" w:type="dxa"/>
            <w:vMerge w:val="restart"/>
            <w:tcBorders>
              <w:left w:val="single" w:sz="4" w:space="0" w:color="000000"/>
              <w:right w:val="single" w:sz="4" w:space="0" w:color="000000"/>
            </w:tcBorders>
            <w:shd w:val="clear" w:color="auto" w:fill="DEEAF6"/>
            <w:vAlign w:val="center"/>
          </w:tcPr>
          <w:p w14:paraId="4C3CC1C6" w14:textId="2C6F4EF1" w:rsidR="00534FE4" w:rsidRPr="00D23213" w:rsidRDefault="00534FE4" w:rsidP="00DF6735">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3.</w:t>
            </w:r>
            <w:r w:rsidR="00B67574" w:rsidRPr="00D23213">
              <w:rPr>
                <w:rFonts w:asciiTheme="minorHAnsi" w:hAnsiTheme="minorHAnsi" w:cstheme="minorHAnsi"/>
                <w:b/>
                <w:noProof/>
                <w:sz w:val="20"/>
                <w:szCs w:val="20"/>
                <w:lang w:val="bs-Latn-BA"/>
              </w:rPr>
              <w:t>2</w:t>
            </w:r>
            <w:r w:rsidRPr="00D23213">
              <w:rPr>
                <w:rFonts w:asciiTheme="minorHAnsi" w:hAnsiTheme="minorHAnsi" w:cstheme="minorHAnsi"/>
                <w:b/>
                <w:noProof/>
                <w:sz w:val="20"/>
                <w:szCs w:val="20"/>
                <w:lang w:val="bs-Latn-BA"/>
              </w:rPr>
              <w:t>.1.Program</w:t>
            </w:r>
          </w:p>
        </w:tc>
        <w:tc>
          <w:tcPr>
            <w:tcW w:w="12233" w:type="dxa"/>
            <w:gridSpan w:val="8"/>
            <w:tcBorders>
              <w:left w:val="single" w:sz="4" w:space="0" w:color="000000"/>
              <w:right w:val="single" w:sz="4" w:space="0" w:color="000000"/>
            </w:tcBorders>
            <w:vAlign w:val="center"/>
          </w:tcPr>
          <w:p w14:paraId="51E2B4AD" w14:textId="4534466C" w:rsidR="00534FE4" w:rsidRPr="00D23213" w:rsidRDefault="00B67574" w:rsidP="00DF6735">
            <w:pPr>
              <w:spacing w:before="120"/>
              <w:jc w:val="center"/>
              <w:rPr>
                <w:rFonts w:asciiTheme="minorHAnsi" w:hAnsiTheme="minorHAnsi" w:cstheme="minorHAnsi"/>
                <w:b/>
                <w:noProof/>
                <w:color w:val="FF0000"/>
                <w:sz w:val="20"/>
                <w:szCs w:val="20"/>
                <w:lang w:val="bs-Latn-BA"/>
              </w:rPr>
            </w:pPr>
            <w:r w:rsidRPr="00D23213">
              <w:rPr>
                <w:rFonts w:asciiTheme="minorHAnsi" w:hAnsiTheme="minorHAnsi" w:cstheme="minorHAnsi"/>
                <w:b/>
                <w:sz w:val="20"/>
                <w:szCs w:val="20"/>
              </w:rPr>
              <w:t>Poboljšanje energetske efikasnosti i promocija korištenja obnovljivih izvora energije</w:t>
            </w:r>
          </w:p>
        </w:tc>
      </w:tr>
      <w:tr w:rsidR="00B67574" w:rsidRPr="00D23213" w14:paraId="12382F3F" w14:textId="77777777" w:rsidTr="00DF6735">
        <w:trPr>
          <w:trHeight w:val="213"/>
          <w:jc w:val="center"/>
        </w:trPr>
        <w:tc>
          <w:tcPr>
            <w:tcW w:w="1754" w:type="dxa"/>
            <w:vMerge/>
            <w:tcBorders>
              <w:left w:val="single" w:sz="4" w:space="0" w:color="000000"/>
              <w:right w:val="single" w:sz="4" w:space="0" w:color="000000"/>
            </w:tcBorders>
            <w:shd w:val="clear" w:color="auto" w:fill="DEEAF6"/>
            <w:vAlign w:val="center"/>
          </w:tcPr>
          <w:p w14:paraId="30A9A66B" w14:textId="77777777" w:rsidR="00B67574" w:rsidRPr="00D23213" w:rsidRDefault="00B67574" w:rsidP="00B67574">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tcPr>
          <w:p w14:paraId="776231E8" w14:textId="4D5024E3" w:rsidR="00B67574" w:rsidRPr="00D23213" w:rsidRDefault="00B67574" w:rsidP="00B67574">
            <w:pPr>
              <w:rPr>
                <w:rFonts w:asciiTheme="minorHAnsi" w:hAnsiTheme="minorHAnsi" w:cstheme="minorHAnsi"/>
                <w:noProof/>
                <w:sz w:val="20"/>
                <w:szCs w:val="20"/>
                <w:lang w:val="bs-Latn-BA"/>
              </w:rPr>
            </w:pPr>
            <w:r w:rsidRPr="00D23213">
              <w:rPr>
                <w:rFonts w:asciiTheme="minorHAnsi" w:hAnsiTheme="minorHAnsi" w:cstheme="minorHAnsi"/>
                <w:sz w:val="20"/>
                <w:szCs w:val="20"/>
              </w:rPr>
              <w:t xml:space="preserve">3.2.1.1. Projekat Izrada opštinskog programa zaštite vazduha i izgradnja kapaciteta za praćenje kvaliteta vazduha </w:t>
            </w:r>
          </w:p>
        </w:tc>
        <w:tc>
          <w:tcPr>
            <w:tcW w:w="2970" w:type="dxa"/>
            <w:gridSpan w:val="2"/>
            <w:tcBorders>
              <w:left w:val="single" w:sz="4" w:space="0" w:color="000000"/>
              <w:right w:val="single" w:sz="4" w:space="0" w:color="000000"/>
            </w:tcBorders>
          </w:tcPr>
          <w:p w14:paraId="47915BDE" w14:textId="77777777" w:rsidR="00B67574" w:rsidRPr="00D23213" w:rsidRDefault="00B67574" w:rsidP="00B67574">
            <w:pPr>
              <w:rPr>
                <w:rFonts w:asciiTheme="minorHAnsi" w:hAnsiTheme="minorHAnsi" w:cstheme="minorHAnsi"/>
                <w:bCs/>
                <w:sz w:val="20"/>
                <w:szCs w:val="20"/>
              </w:rPr>
            </w:pPr>
            <w:r w:rsidRPr="00D23213">
              <w:rPr>
                <w:rFonts w:asciiTheme="minorHAnsi" w:hAnsiTheme="minorHAnsi" w:cstheme="minorHAnsi"/>
                <w:bCs/>
                <w:sz w:val="20"/>
                <w:szCs w:val="20"/>
              </w:rPr>
              <w:t>Postavljena oprema i definisane procedure i raspored zadataka na praćenju kvaliteta vazduha</w:t>
            </w:r>
          </w:p>
          <w:p w14:paraId="0D21913A" w14:textId="2E7E23E6" w:rsidR="00B67574" w:rsidRPr="00D23213" w:rsidRDefault="00B67574" w:rsidP="00B67574">
            <w:pPr>
              <w:rPr>
                <w:rFonts w:asciiTheme="minorHAnsi" w:hAnsiTheme="minorHAnsi" w:cstheme="minorHAnsi"/>
                <w:b/>
                <w:noProof/>
                <w:sz w:val="20"/>
                <w:szCs w:val="20"/>
                <w:lang w:val="bs-Latn-BA"/>
              </w:rPr>
            </w:pPr>
            <w:r w:rsidRPr="00D23213">
              <w:rPr>
                <w:rFonts w:asciiTheme="minorHAnsi" w:hAnsiTheme="minorHAnsi" w:cstheme="minorHAnsi"/>
                <w:bCs/>
                <w:sz w:val="20"/>
                <w:szCs w:val="20"/>
              </w:rPr>
              <w:t>Povećan stepen korištenja obnovljivih izvora energije za grijanje javnih objekata</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CD0435" w14:textId="77777777" w:rsidR="00B67574" w:rsidRPr="00D23213" w:rsidRDefault="00B67574" w:rsidP="00B67574">
            <w:pPr>
              <w:spacing w:before="120"/>
              <w:jc w:val="center"/>
              <w:rPr>
                <w:rFonts w:asciiTheme="minorHAnsi" w:hAnsiTheme="minorHAnsi" w:cstheme="minorHAnsi"/>
                <w:noProof/>
                <w:sz w:val="20"/>
                <w:szCs w:val="20"/>
                <w:lang w:val="bs-Latn-BA"/>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327508D" w14:textId="77777777" w:rsidR="00B67574" w:rsidRPr="00D23213" w:rsidRDefault="00B67574" w:rsidP="00B67574">
            <w:pPr>
              <w:spacing w:before="120"/>
              <w:jc w:val="center"/>
              <w:rPr>
                <w:rFonts w:asciiTheme="minorHAnsi" w:hAnsiTheme="minorHAnsi" w:cstheme="minorHAnsi"/>
                <w:noProof/>
                <w:sz w:val="20"/>
                <w:szCs w:val="20"/>
                <w:lang w:val="bs-Latn-BA"/>
              </w:rPr>
            </w:pP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764A0F41" w14:textId="38C8F9D8" w:rsidR="00B67574" w:rsidRPr="00D23213" w:rsidRDefault="007B7C4C" w:rsidP="00B67574">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40,000</w:t>
            </w:r>
          </w:p>
        </w:tc>
      </w:tr>
      <w:tr w:rsidR="00B67574" w:rsidRPr="00D23213" w14:paraId="5EFCFE79" w14:textId="77777777" w:rsidTr="00A17101">
        <w:trPr>
          <w:trHeight w:val="1953"/>
          <w:jc w:val="center"/>
        </w:trPr>
        <w:tc>
          <w:tcPr>
            <w:tcW w:w="1754" w:type="dxa"/>
            <w:vMerge/>
            <w:tcBorders>
              <w:left w:val="single" w:sz="4" w:space="0" w:color="000000"/>
              <w:right w:val="single" w:sz="4" w:space="0" w:color="000000"/>
            </w:tcBorders>
            <w:shd w:val="clear" w:color="auto" w:fill="DEEAF6"/>
            <w:vAlign w:val="center"/>
          </w:tcPr>
          <w:p w14:paraId="10793677" w14:textId="77777777" w:rsidR="00B67574" w:rsidRPr="00D23213" w:rsidRDefault="00B67574" w:rsidP="00B67574">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tcPr>
          <w:p w14:paraId="152B3E03" w14:textId="2D454CF9" w:rsidR="00B67574" w:rsidRPr="00D23213" w:rsidRDefault="00B67574" w:rsidP="00B67574">
            <w:pPr>
              <w:rPr>
                <w:rFonts w:asciiTheme="minorHAnsi" w:hAnsiTheme="minorHAnsi" w:cstheme="minorHAnsi"/>
                <w:noProof/>
                <w:sz w:val="20"/>
                <w:szCs w:val="20"/>
                <w:lang w:val="bs-Latn-BA"/>
              </w:rPr>
            </w:pPr>
            <w:r w:rsidRPr="00D23213">
              <w:rPr>
                <w:rFonts w:asciiTheme="minorHAnsi" w:hAnsiTheme="minorHAnsi" w:cstheme="minorHAnsi"/>
                <w:sz w:val="20"/>
                <w:szCs w:val="20"/>
              </w:rPr>
              <w:t>3.2.1.2. Projekat Energetska efikasnost javnih objekata</w:t>
            </w:r>
          </w:p>
        </w:tc>
        <w:tc>
          <w:tcPr>
            <w:tcW w:w="2970" w:type="dxa"/>
            <w:gridSpan w:val="2"/>
            <w:tcBorders>
              <w:left w:val="single" w:sz="4" w:space="0" w:color="000000"/>
              <w:right w:val="single" w:sz="4" w:space="0" w:color="000000"/>
            </w:tcBorders>
          </w:tcPr>
          <w:p w14:paraId="3833F6A3" w14:textId="77777777" w:rsidR="00B67574" w:rsidRPr="00D23213" w:rsidRDefault="00B67574" w:rsidP="00B67574">
            <w:pPr>
              <w:rPr>
                <w:rFonts w:asciiTheme="minorHAnsi" w:hAnsiTheme="minorHAnsi" w:cstheme="minorHAnsi"/>
                <w:noProof/>
                <w:sz w:val="20"/>
                <w:szCs w:val="20"/>
              </w:rPr>
            </w:pPr>
            <w:r w:rsidRPr="00D23213">
              <w:rPr>
                <w:rFonts w:asciiTheme="minorHAnsi" w:hAnsiTheme="minorHAnsi" w:cstheme="minorHAnsi"/>
                <w:noProof/>
                <w:sz w:val="20"/>
                <w:szCs w:val="20"/>
              </w:rPr>
              <w:t>Izvedeni radovi na unapređenju energetske efikasnosti prioritetnih javnih objekata -termoizolacija javnih objekata i uvedena LED rasvjeta</w:t>
            </w:r>
          </w:p>
          <w:p w14:paraId="36F6B735" w14:textId="3C899B04" w:rsidR="00B67574" w:rsidRPr="00D23213" w:rsidRDefault="00B67574" w:rsidP="00B67574">
            <w:pPr>
              <w:rPr>
                <w:rFonts w:asciiTheme="minorHAnsi" w:hAnsiTheme="minorHAnsi" w:cstheme="minorHAnsi"/>
                <w:b/>
                <w:noProof/>
                <w:sz w:val="20"/>
                <w:szCs w:val="20"/>
                <w:lang w:val="bs-Latn-BA"/>
              </w:rPr>
            </w:pPr>
            <w:r w:rsidRPr="00D23213">
              <w:rPr>
                <w:rFonts w:asciiTheme="minorHAnsi" w:hAnsiTheme="minorHAnsi" w:cstheme="minorHAnsi"/>
                <w:noProof/>
                <w:sz w:val="20"/>
                <w:szCs w:val="20"/>
              </w:rPr>
              <w:t>Unaprijeđeni sistemi grijanja i snabdijevanja potrošnom toplom vodom</w:t>
            </w:r>
          </w:p>
        </w:tc>
        <w:tc>
          <w:tcPr>
            <w:tcW w:w="1890" w:type="dxa"/>
            <w:tcBorders>
              <w:top w:val="single" w:sz="4" w:space="0" w:color="000000"/>
              <w:left w:val="single" w:sz="4" w:space="0" w:color="000000"/>
              <w:right w:val="single" w:sz="4" w:space="0" w:color="000000"/>
            </w:tcBorders>
            <w:shd w:val="clear" w:color="auto" w:fill="F2F2F2"/>
            <w:vAlign w:val="center"/>
          </w:tcPr>
          <w:p w14:paraId="31DF35FC" w14:textId="77777777" w:rsidR="00B67574" w:rsidRPr="00D23213" w:rsidRDefault="00B67574" w:rsidP="00B67574">
            <w:pPr>
              <w:spacing w:before="120"/>
              <w:jc w:val="center"/>
              <w:rPr>
                <w:rFonts w:asciiTheme="minorHAnsi" w:hAnsiTheme="minorHAnsi" w:cstheme="minorHAnsi"/>
                <w:noProof/>
                <w:sz w:val="20"/>
                <w:szCs w:val="20"/>
                <w:lang w:val="bs-Latn-BA"/>
              </w:rPr>
            </w:pPr>
          </w:p>
        </w:tc>
        <w:tc>
          <w:tcPr>
            <w:tcW w:w="1890" w:type="dxa"/>
            <w:gridSpan w:val="2"/>
            <w:tcBorders>
              <w:top w:val="single" w:sz="4" w:space="0" w:color="000000"/>
              <w:left w:val="single" w:sz="4" w:space="0" w:color="000000"/>
              <w:right w:val="single" w:sz="4" w:space="0" w:color="000000"/>
            </w:tcBorders>
            <w:shd w:val="clear" w:color="auto" w:fill="F2F2F2"/>
            <w:vAlign w:val="center"/>
          </w:tcPr>
          <w:p w14:paraId="5B26D432" w14:textId="77777777" w:rsidR="00B67574" w:rsidRPr="00D23213" w:rsidRDefault="00B67574" w:rsidP="00B67574">
            <w:pPr>
              <w:spacing w:before="120"/>
              <w:jc w:val="center"/>
              <w:rPr>
                <w:rFonts w:asciiTheme="minorHAnsi" w:hAnsiTheme="minorHAnsi" w:cstheme="minorHAnsi"/>
                <w:noProof/>
                <w:sz w:val="20"/>
                <w:szCs w:val="20"/>
                <w:lang w:val="bs-Latn-BA"/>
              </w:rPr>
            </w:pPr>
          </w:p>
        </w:tc>
        <w:tc>
          <w:tcPr>
            <w:tcW w:w="1726" w:type="dxa"/>
            <w:gridSpan w:val="2"/>
            <w:tcBorders>
              <w:top w:val="single" w:sz="4" w:space="0" w:color="000000"/>
              <w:left w:val="single" w:sz="4" w:space="0" w:color="000000"/>
              <w:right w:val="single" w:sz="4" w:space="0" w:color="000000"/>
            </w:tcBorders>
            <w:shd w:val="clear" w:color="auto" w:fill="95B3D7"/>
            <w:vAlign w:val="center"/>
          </w:tcPr>
          <w:p w14:paraId="7BA75F39" w14:textId="1D5D5BD6" w:rsidR="00B67574" w:rsidRPr="00D23213" w:rsidRDefault="007B7C4C" w:rsidP="00B67574">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300,000</w:t>
            </w:r>
          </w:p>
        </w:tc>
      </w:tr>
      <w:tr w:rsidR="00C34C58" w:rsidRPr="00D23213" w14:paraId="3A00ABC1" w14:textId="77777777" w:rsidTr="00DF6735">
        <w:trPr>
          <w:trHeight w:val="787"/>
          <w:jc w:val="center"/>
        </w:trPr>
        <w:tc>
          <w:tcPr>
            <w:tcW w:w="1754" w:type="dxa"/>
            <w:tcBorders>
              <w:left w:val="single" w:sz="4" w:space="0" w:color="000000"/>
              <w:right w:val="single" w:sz="4" w:space="0" w:color="000000"/>
            </w:tcBorders>
            <w:shd w:val="clear" w:color="auto" w:fill="8EAADB"/>
            <w:vAlign w:val="center"/>
          </w:tcPr>
          <w:p w14:paraId="654553B7" w14:textId="21661B3A" w:rsidR="00C34C58" w:rsidRPr="00D23213" w:rsidRDefault="00C34C58" w:rsidP="00DF6735">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3.3. Sektorski cilj</w:t>
            </w:r>
          </w:p>
        </w:tc>
        <w:tc>
          <w:tcPr>
            <w:tcW w:w="3757" w:type="dxa"/>
            <w:tcBorders>
              <w:left w:val="single" w:sz="4" w:space="0" w:color="000000"/>
              <w:right w:val="single" w:sz="4" w:space="0" w:color="000000"/>
            </w:tcBorders>
            <w:vAlign w:val="center"/>
          </w:tcPr>
          <w:p w14:paraId="2FA98034" w14:textId="2AA57F94" w:rsidR="00C34C58" w:rsidRPr="00D23213" w:rsidRDefault="00C34C58" w:rsidP="00DF6735">
            <w:pPr>
              <w:rPr>
                <w:rFonts w:asciiTheme="minorHAnsi" w:hAnsiTheme="minorHAnsi" w:cstheme="minorHAnsi"/>
                <w:b/>
                <w:noProof/>
                <w:color w:val="FF0000"/>
                <w:sz w:val="20"/>
                <w:szCs w:val="20"/>
                <w:lang w:val="bs-Latn-BA"/>
              </w:rPr>
            </w:pPr>
            <w:r w:rsidRPr="00D23213">
              <w:rPr>
                <w:rFonts w:asciiTheme="minorHAnsi" w:hAnsiTheme="minorHAnsi" w:cstheme="minorHAnsi"/>
                <w:b/>
                <w:bCs/>
                <w:sz w:val="20"/>
                <w:szCs w:val="20"/>
              </w:rPr>
              <w:t>Smanjen rizik od elementarnih nepogoda i drugih nesreća do 2020. godine</w:t>
            </w:r>
          </w:p>
        </w:tc>
        <w:tc>
          <w:tcPr>
            <w:tcW w:w="1620" w:type="dxa"/>
            <w:tcBorders>
              <w:left w:val="single" w:sz="4" w:space="0" w:color="000000"/>
              <w:right w:val="single" w:sz="4" w:space="0" w:color="000000"/>
            </w:tcBorders>
            <w:shd w:val="clear" w:color="auto" w:fill="8EAADB"/>
            <w:vAlign w:val="center"/>
          </w:tcPr>
          <w:p w14:paraId="14A813E0" w14:textId="77777777" w:rsidR="00C34C58" w:rsidRPr="00D23213" w:rsidRDefault="00C34C58" w:rsidP="00DF6735">
            <w:pPr>
              <w:spacing w:before="40"/>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14:paraId="064521FF" w14:textId="77777777" w:rsidR="00C34C58" w:rsidRPr="00D23213" w:rsidRDefault="00C34C58" w:rsidP="00C34C58">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Površina plavnog područja smanjena za 50% do kraja 2020. godine u odnosu na 2017. godinu</w:t>
            </w:r>
          </w:p>
          <w:p w14:paraId="2535E3E4" w14:textId="77777777" w:rsidR="00C34C58" w:rsidRPr="00D23213" w:rsidRDefault="00C34C58" w:rsidP="00C34C58">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Vrijednost materijalne štete od elementarnih nepogoda smanjena za 50% (godišnji prosjek) u periodu 2017-2020. u odnosu na period 2012-2016.</w:t>
            </w:r>
          </w:p>
          <w:p w14:paraId="5399614C" w14:textId="1F747AC5" w:rsidR="00C34C58" w:rsidRPr="00D23213" w:rsidRDefault="00C34C58" w:rsidP="00C34C58">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Osigurana zdravstvena ispravnost vode sa izvorišta Povelič do 2019.</w:t>
            </w:r>
          </w:p>
        </w:tc>
        <w:tc>
          <w:tcPr>
            <w:tcW w:w="1170" w:type="dxa"/>
            <w:tcBorders>
              <w:top w:val="single" w:sz="4" w:space="0" w:color="000000"/>
              <w:left w:val="single" w:sz="4" w:space="0" w:color="000000"/>
              <w:right w:val="single" w:sz="4" w:space="0" w:color="000000"/>
            </w:tcBorders>
            <w:shd w:val="clear" w:color="auto" w:fill="8EAADB"/>
            <w:vAlign w:val="center"/>
          </w:tcPr>
          <w:p w14:paraId="3E368DA1" w14:textId="77777777" w:rsidR="00C34C58" w:rsidRPr="00D23213" w:rsidRDefault="00C34C58" w:rsidP="00DF6735">
            <w:pPr>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vAlign w:val="center"/>
          </w:tcPr>
          <w:p w14:paraId="146BFC5C" w14:textId="77777777" w:rsidR="00C34C58" w:rsidRPr="00D23213" w:rsidRDefault="00C34C58" w:rsidP="00C34C58">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Površina plavnog područja</w:t>
            </w:r>
          </w:p>
          <w:p w14:paraId="0DBD0D66" w14:textId="77777777" w:rsidR="00C34C58" w:rsidRPr="00D23213" w:rsidRDefault="00C34C58" w:rsidP="00C34C58">
            <w:pPr>
              <w:numPr>
                <w:ilvl w:val="0"/>
                <w:numId w:val="27"/>
              </w:numPr>
              <w:tabs>
                <w:tab w:val="clear" w:pos="720"/>
              </w:tabs>
              <w:ind w:left="269" w:hanging="269"/>
              <w:jc w:val="both"/>
              <w:rPr>
                <w:rFonts w:asciiTheme="minorHAnsi" w:hAnsiTheme="minorHAnsi" w:cstheme="minorHAnsi"/>
                <w:noProof/>
                <w:sz w:val="20"/>
                <w:szCs w:val="20"/>
                <w:lang w:val="sr-Cyrl-CS"/>
              </w:rPr>
            </w:pPr>
            <w:r w:rsidRPr="00D23213">
              <w:rPr>
                <w:rFonts w:asciiTheme="minorHAnsi" w:hAnsiTheme="minorHAnsi" w:cstheme="minorHAnsi"/>
                <w:noProof/>
                <w:sz w:val="20"/>
                <w:szCs w:val="20"/>
                <w:lang w:val="sr-Cyrl-CS"/>
              </w:rPr>
              <w:t>Vrijednost materijalne štete od elementarnih nepogoda</w:t>
            </w:r>
          </w:p>
          <w:p w14:paraId="48387C2D" w14:textId="28B7A978" w:rsidR="00C34C58" w:rsidRPr="00D23213" w:rsidRDefault="00C34C58" w:rsidP="00C34C58">
            <w:pPr>
              <w:numPr>
                <w:ilvl w:val="0"/>
                <w:numId w:val="27"/>
              </w:numPr>
              <w:tabs>
                <w:tab w:val="clear" w:pos="720"/>
              </w:tabs>
              <w:ind w:left="269" w:hanging="269"/>
              <w:jc w:val="both"/>
              <w:rPr>
                <w:rFonts w:asciiTheme="minorHAnsi" w:hAnsiTheme="minorHAnsi" w:cstheme="minorHAnsi"/>
                <w:b/>
                <w:noProof/>
                <w:sz w:val="20"/>
                <w:szCs w:val="20"/>
                <w:lang w:val="bs-Latn-BA"/>
              </w:rPr>
            </w:pPr>
            <w:r w:rsidRPr="00D23213">
              <w:rPr>
                <w:rFonts w:asciiTheme="minorHAnsi" w:hAnsiTheme="minorHAnsi" w:cstheme="minorHAnsi"/>
                <w:noProof/>
                <w:sz w:val="20"/>
                <w:szCs w:val="20"/>
                <w:lang w:val="sr-Cyrl-CS"/>
              </w:rPr>
              <w:t>Zdravstvena ispravnost vode sa izvorišta Povelič</w:t>
            </w:r>
          </w:p>
        </w:tc>
      </w:tr>
      <w:tr w:rsidR="00C34C58" w:rsidRPr="00D23213" w14:paraId="59219504" w14:textId="77777777" w:rsidTr="00DF6735">
        <w:trPr>
          <w:trHeight w:val="213"/>
          <w:jc w:val="center"/>
        </w:trPr>
        <w:tc>
          <w:tcPr>
            <w:tcW w:w="1754" w:type="dxa"/>
            <w:vMerge w:val="restart"/>
            <w:tcBorders>
              <w:left w:val="single" w:sz="4" w:space="0" w:color="000000"/>
              <w:right w:val="single" w:sz="4" w:space="0" w:color="000000"/>
            </w:tcBorders>
            <w:shd w:val="clear" w:color="auto" w:fill="DEEAF6"/>
            <w:vAlign w:val="center"/>
          </w:tcPr>
          <w:p w14:paraId="46C9EA0C" w14:textId="30DD69A9" w:rsidR="00C34C58" w:rsidRPr="00D23213" w:rsidRDefault="00C34C58" w:rsidP="00DF6735">
            <w:pPr>
              <w:rPr>
                <w:rFonts w:asciiTheme="minorHAnsi" w:hAnsiTheme="minorHAnsi" w:cstheme="minorHAnsi"/>
                <w:b/>
                <w:noProof/>
                <w:sz w:val="20"/>
                <w:szCs w:val="20"/>
                <w:lang w:val="bs-Latn-BA"/>
              </w:rPr>
            </w:pPr>
            <w:r w:rsidRPr="00D23213">
              <w:rPr>
                <w:rFonts w:asciiTheme="minorHAnsi" w:hAnsiTheme="minorHAnsi" w:cstheme="minorHAnsi"/>
                <w:b/>
                <w:noProof/>
                <w:sz w:val="20"/>
                <w:szCs w:val="20"/>
                <w:lang w:val="bs-Latn-BA"/>
              </w:rPr>
              <w:t>3.3.1.Program</w:t>
            </w:r>
          </w:p>
        </w:tc>
        <w:tc>
          <w:tcPr>
            <w:tcW w:w="12233" w:type="dxa"/>
            <w:gridSpan w:val="8"/>
            <w:tcBorders>
              <w:left w:val="single" w:sz="4" w:space="0" w:color="000000"/>
              <w:right w:val="single" w:sz="4" w:space="0" w:color="000000"/>
            </w:tcBorders>
            <w:vAlign w:val="center"/>
          </w:tcPr>
          <w:p w14:paraId="4B24AD85" w14:textId="392B48F1" w:rsidR="00C34C58" w:rsidRPr="00D23213" w:rsidRDefault="00C34C58" w:rsidP="00DF6735">
            <w:pPr>
              <w:spacing w:before="120"/>
              <w:jc w:val="center"/>
              <w:rPr>
                <w:rFonts w:asciiTheme="minorHAnsi" w:hAnsiTheme="minorHAnsi" w:cstheme="minorHAnsi"/>
                <w:b/>
                <w:noProof/>
                <w:color w:val="FF0000"/>
                <w:sz w:val="20"/>
                <w:szCs w:val="20"/>
                <w:lang w:val="bs-Latn-BA"/>
              </w:rPr>
            </w:pPr>
            <w:r w:rsidRPr="00D23213">
              <w:rPr>
                <w:rFonts w:asciiTheme="minorHAnsi" w:hAnsiTheme="minorHAnsi" w:cstheme="minorHAnsi"/>
                <w:b/>
                <w:sz w:val="20"/>
                <w:szCs w:val="20"/>
              </w:rPr>
              <w:t>Unapređenje sistema zaštite od elementarnih nepogoda</w:t>
            </w:r>
          </w:p>
        </w:tc>
      </w:tr>
      <w:tr w:rsidR="00C34C58" w:rsidRPr="00D23213" w14:paraId="1F4856B9" w14:textId="77777777" w:rsidTr="00DF6735">
        <w:trPr>
          <w:trHeight w:val="213"/>
          <w:jc w:val="center"/>
        </w:trPr>
        <w:tc>
          <w:tcPr>
            <w:tcW w:w="1754" w:type="dxa"/>
            <w:vMerge/>
            <w:tcBorders>
              <w:left w:val="single" w:sz="4" w:space="0" w:color="000000"/>
              <w:right w:val="single" w:sz="4" w:space="0" w:color="000000"/>
            </w:tcBorders>
            <w:shd w:val="clear" w:color="auto" w:fill="DEEAF6"/>
            <w:vAlign w:val="center"/>
          </w:tcPr>
          <w:p w14:paraId="785EA227" w14:textId="77777777" w:rsidR="00C34C58" w:rsidRPr="00D23213" w:rsidRDefault="00C34C58" w:rsidP="00C34C58">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tcPr>
          <w:p w14:paraId="617F9AFE" w14:textId="7E664CCF" w:rsidR="00C34C58" w:rsidRPr="00D23213" w:rsidRDefault="00C34C58" w:rsidP="00C34C58">
            <w:pPr>
              <w:rPr>
                <w:rFonts w:asciiTheme="minorHAnsi" w:hAnsiTheme="minorHAnsi" w:cstheme="minorHAnsi"/>
                <w:noProof/>
                <w:sz w:val="20"/>
                <w:szCs w:val="20"/>
                <w:lang w:val="bs-Latn-BA"/>
              </w:rPr>
            </w:pPr>
            <w:r w:rsidRPr="00D23213">
              <w:rPr>
                <w:rFonts w:asciiTheme="minorHAnsi" w:hAnsiTheme="minorHAnsi" w:cstheme="minorHAnsi"/>
                <w:sz w:val="20"/>
                <w:szCs w:val="20"/>
              </w:rPr>
              <w:t xml:space="preserve">3.3.1.1. Projekat Uređenje sliva rijeke Ukrine u cilju zaštite od poplava </w:t>
            </w:r>
          </w:p>
        </w:tc>
        <w:tc>
          <w:tcPr>
            <w:tcW w:w="2970" w:type="dxa"/>
            <w:gridSpan w:val="2"/>
            <w:tcBorders>
              <w:left w:val="single" w:sz="4" w:space="0" w:color="000000"/>
              <w:right w:val="single" w:sz="4" w:space="0" w:color="000000"/>
            </w:tcBorders>
          </w:tcPr>
          <w:p w14:paraId="33DA8E73" w14:textId="5CF1D9D2" w:rsidR="00C34C58" w:rsidRPr="00D23213" w:rsidRDefault="00C34C58" w:rsidP="00C34C58">
            <w:pPr>
              <w:rPr>
                <w:rFonts w:asciiTheme="minorHAnsi" w:hAnsiTheme="minorHAnsi" w:cstheme="minorHAnsi"/>
                <w:b/>
                <w:noProof/>
                <w:sz w:val="20"/>
                <w:szCs w:val="20"/>
                <w:lang w:val="bs-Latn-BA"/>
              </w:rPr>
            </w:pPr>
            <w:r w:rsidRPr="00D23213">
              <w:rPr>
                <w:rFonts w:asciiTheme="minorHAnsi" w:hAnsiTheme="minorHAnsi" w:cstheme="minorHAnsi"/>
                <w:bCs/>
                <w:sz w:val="20"/>
                <w:szCs w:val="20"/>
              </w:rPr>
              <w:t>Unapređena zaštita od poplava za površinu od X km2 u slivu Ukrine (5 km Ukrina, 5 km Vijaka)</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979A3B" w14:textId="1ED229B5" w:rsidR="00C34C58" w:rsidRPr="00D23213" w:rsidRDefault="007B7C4C" w:rsidP="00C34C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61,500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D04BC12" w14:textId="449F4306" w:rsidR="00C34C58" w:rsidRPr="00D23213" w:rsidRDefault="007B7C4C" w:rsidP="00C34C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69AFFB4B" w14:textId="7ADA3CA3" w:rsidR="00C34C58" w:rsidRPr="00D23213" w:rsidRDefault="007B7C4C" w:rsidP="00C34C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1,061,500</w:t>
            </w:r>
          </w:p>
        </w:tc>
      </w:tr>
      <w:tr w:rsidR="00C34C58" w:rsidRPr="00D23213" w14:paraId="3DD6AF61" w14:textId="77777777" w:rsidTr="00C34C58">
        <w:trPr>
          <w:trHeight w:val="777"/>
          <w:jc w:val="center"/>
        </w:trPr>
        <w:tc>
          <w:tcPr>
            <w:tcW w:w="1754" w:type="dxa"/>
            <w:vMerge/>
            <w:tcBorders>
              <w:left w:val="single" w:sz="4" w:space="0" w:color="000000"/>
              <w:right w:val="single" w:sz="4" w:space="0" w:color="000000"/>
            </w:tcBorders>
            <w:shd w:val="clear" w:color="auto" w:fill="DEEAF6"/>
            <w:vAlign w:val="center"/>
          </w:tcPr>
          <w:p w14:paraId="3533AEF4" w14:textId="77777777" w:rsidR="00C34C58" w:rsidRPr="00D23213" w:rsidRDefault="00C34C58" w:rsidP="00C34C58">
            <w:pPr>
              <w:rPr>
                <w:rFonts w:asciiTheme="minorHAnsi" w:hAnsiTheme="minorHAnsi" w:cstheme="minorHAnsi"/>
                <w:b/>
                <w:noProof/>
                <w:sz w:val="20"/>
                <w:szCs w:val="20"/>
                <w:lang w:val="bs-Latn-BA"/>
              </w:rPr>
            </w:pPr>
          </w:p>
        </w:tc>
        <w:tc>
          <w:tcPr>
            <w:tcW w:w="3757" w:type="dxa"/>
            <w:tcBorders>
              <w:left w:val="single" w:sz="4" w:space="0" w:color="000000"/>
              <w:right w:val="single" w:sz="4" w:space="0" w:color="000000"/>
            </w:tcBorders>
          </w:tcPr>
          <w:p w14:paraId="1ACBA5E1" w14:textId="38664CC0" w:rsidR="00C34C58" w:rsidRPr="00D23213" w:rsidRDefault="00C34C58" w:rsidP="00C34C58">
            <w:pPr>
              <w:rPr>
                <w:rFonts w:asciiTheme="minorHAnsi" w:hAnsiTheme="minorHAnsi" w:cstheme="minorHAnsi"/>
                <w:noProof/>
                <w:sz w:val="20"/>
                <w:szCs w:val="20"/>
                <w:lang w:val="bs-Latn-BA"/>
              </w:rPr>
            </w:pPr>
            <w:r w:rsidRPr="00D23213">
              <w:rPr>
                <w:rFonts w:asciiTheme="minorHAnsi" w:hAnsiTheme="minorHAnsi" w:cstheme="minorHAnsi"/>
                <w:sz w:val="20"/>
                <w:szCs w:val="20"/>
              </w:rPr>
              <w:t>3.3.1.2. Projekat Izrada Programa sanitarne zaštite vode za piće i ljudsku upotrebu  za izvorište Povelič (2018)</w:t>
            </w:r>
          </w:p>
        </w:tc>
        <w:tc>
          <w:tcPr>
            <w:tcW w:w="2970" w:type="dxa"/>
            <w:gridSpan w:val="2"/>
            <w:tcBorders>
              <w:left w:val="single" w:sz="4" w:space="0" w:color="000000"/>
              <w:right w:val="single" w:sz="4" w:space="0" w:color="000000"/>
            </w:tcBorders>
          </w:tcPr>
          <w:p w14:paraId="5BC32493" w14:textId="453E439A" w:rsidR="00C34C58" w:rsidRPr="00D23213" w:rsidRDefault="00C34C58" w:rsidP="00C34C58">
            <w:pPr>
              <w:rPr>
                <w:rFonts w:asciiTheme="minorHAnsi" w:hAnsiTheme="minorHAnsi" w:cstheme="minorHAnsi"/>
                <w:b/>
                <w:noProof/>
                <w:sz w:val="20"/>
                <w:szCs w:val="20"/>
                <w:lang w:val="bs-Latn-BA"/>
              </w:rPr>
            </w:pPr>
            <w:r w:rsidRPr="00D23213">
              <w:rPr>
                <w:rFonts w:asciiTheme="minorHAnsi" w:hAnsiTheme="minorHAnsi" w:cstheme="minorHAnsi"/>
                <w:bCs/>
                <w:sz w:val="20"/>
                <w:szCs w:val="20"/>
              </w:rPr>
              <w:t>Zona izvorišta Povelič zaštićena od degradacije i zagađenja</w:t>
            </w:r>
          </w:p>
        </w:tc>
        <w:tc>
          <w:tcPr>
            <w:tcW w:w="1890" w:type="dxa"/>
            <w:tcBorders>
              <w:top w:val="single" w:sz="4" w:space="0" w:color="000000"/>
              <w:left w:val="single" w:sz="4" w:space="0" w:color="000000"/>
              <w:right w:val="single" w:sz="4" w:space="0" w:color="000000"/>
            </w:tcBorders>
            <w:shd w:val="clear" w:color="auto" w:fill="F2F2F2"/>
            <w:vAlign w:val="center"/>
          </w:tcPr>
          <w:p w14:paraId="685F0499" w14:textId="77777777" w:rsidR="00C34C58" w:rsidRPr="00D23213" w:rsidRDefault="00C34C58" w:rsidP="00C34C58">
            <w:pPr>
              <w:spacing w:before="120"/>
              <w:jc w:val="center"/>
              <w:rPr>
                <w:rFonts w:asciiTheme="minorHAnsi" w:hAnsiTheme="minorHAnsi" w:cstheme="minorHAnsi"/>
                <w:noProof/>
                <w:sz w:val="20"/>
                <w:szCs w:val="20"/>
                <w:lang w:val="bs-Latn-BA"/>
              </w:rPr>
            </w:pPr>
          </w:p>
        </w:tc>
        <w:tc>
          <w:tcPr>
            <w:tcW w:w="1890" w:type="dxa"/>
            <w:gridSpan w:val="2"/>
            <w:tcBorders>
              <w:top w:val="single" w:sz="4" w:space="0" w:color="000000"/>
              <w:left w:val="single" w:sz="4" w:space="0" w:color="000000"/>
              <w:right w:val="single" w:sz="4" w:space="0" w:color="000000"/>
            </w:tcBorders>
            <w:shd w:val="clear" w:color="auto" w:fill="F2F2F2"/>
            <w:vAlign w:val="center"/>
          </w:tcPr>
          <w:p w14:paraId="204062B0" w14:textId="77777777" w:rsidR="00C34C58" w:rsidRPr="00D23213" w:rsidRDefault="00C34C58" w:rsidP="00C34C58">
            <w:pPr>
              <w:spacing w:before="120"/>
              <w:jc w:val="center"/>
              <w:rPr>
                <w:rFonts w:asciiTheme="minorHAnsi" w:hAnsiTheme="minorHAnsi" w:cstheme="minorHAnsi"/>
                <w:noProof/>
                <w:sz w:val="20"/>
                <w:szCs w:val="20"/>
                <w:lang w:val="bs-Latn-BA"/>
              </w:rPr>
            </w:pPr>
          </w:p>
        </w:tc>
        <w:tc>
          <w:tcPr>
            <w:tcW w:w="1726" w:type="dxa"/>
            <w:gridSpan w:val="2"/>
            <w:tcBorders>
              <w:top w:val="single" w:sz="4" w:space="0" w:color="000000"/>
              <w:left w:val="single" w:sz="4" w:space="0" w:color="000000"/>
              <w:right w:val="single" w:sz="4" w:space="0" w:color="000000"/>
            </w:tcBorders>
            <w:shd w:val="clear" w:color="auto" w:fill="95B3D7"/>
            <w:vAlign w:val="center"/>
          </w:tcPr>
          <w:p w14:paraId="6116AC23" w14:textId="4402B420" w:rsidR="00C34C58" w:rsidRPr="00D23213" w:rsidRDefault="007B7C4C" w:rsidP="00C34C58">
            <w:pPr>
              <w:spacing w:before="120"/>
              <w:jc w:val="center"/>
              <w:rPr>
                <w:rFonts w:asciiTheme="minorHAnsi" w:hAnsiTheme="minorHAnsi" w:cstheme="minorHAnsi"/>
                <w:noProof/>
                <w:sz w:val="20"/>
                <w:szCs w:val="20"/>
                <w:lang w:val="bs-Latn-BA"/>
              </w:rPr>
            </w:pPr>
            <w:r w:rsidRPr="00D23213">
              <w:rPr>
                <w:rFonts w:asciiTheme="minorHAnsi" w:hAnsiTheme="minorHAnsi" w:cstheme="minorHAnsi"/>
                <w:noProof/>
                <w:sz w:val="20"/>
                <w:szCs w:val="20"/>
                <w:lang w:val="bs-Latn-BA"/>
              </w:rPr>
              <w:t>19,500</w:t>
            </w:r>
          </w:p>
        </w:tc>
      </w:tr>
    </w:tbl>
    <w:p w14:paraId="57791D50" w14:textId="77777777" w:rsidR="004F4EE7" w:rsidRDefault="004F4EE7" w:rsidP="004F4EE7">
      <w:pPr>
        <w:jc w:val="both"/>
        <w:rPr>
          <w:rFonts w:ascii="Myriad Pro" w:hAnsi="Myriad Pro"/>
          <w:b/>
        </w:rPr>
      </w:pPr>
    </w:p>
    <w:p w14:paraId="5C667D7F" w14:textId="77777777" w:rsidR="004F4EE7" w:rsidRPr="00A223E7" w:rsidRDefault="004F4EE7" w:rsidP="004F4EE7">
      <w:pPr>
        <w:pStyle w:val="Heading2"/>
      </w:pPr>
      <w:bookmarkStart w:id="65" w:name="_Toc488761259"/>
      <w:bookmarkStart w:id="66" w:name="_Toc496413399"/>
      <w:r>
        <w:t xml:space="preserve">Prilog 2: </w:t>
      </w:r>
      <w:r w:rsidRPr="00A223E7">
        <w:t>Definicije varijabli za praćenje indikatora/ishoda</w:t>
      </w:r>
      <w:r>
        <w:t xml:space="preserve"> (generiše se iz Alata za koherentost)</w:t>
      </w:r>
      <w:bookmarkEnd w:id="65"/>
      <w:bookmarkEnd w:id="66"/>
    </w:p>
    <w:p w14:paraId="153E5335" w14:textId="77777777" w:rsidR="004F4EE7" w:rsidRPr="00473363" w:rsidRDefault="004F4EE7" w:rsidP="004F4EE7">
      <w:pPr>
        <w:pStyle w:val="Heading2"/>
        <w:rPr>
          <w:rFonts w:asciiTheme="minorHAnsi" w:hAnsiTheme="minorHAnsi" w:cstheme="minorHAnsi"/>
        </w:rPr>
      </w:pPr>
      <w:bookmarkStart w:id="67" w:name="_Toc488761260"/>
      <w:bookmarkStart w:id="68" w:name="_Toc496413400"/>
      <w:bookmarkStart w:id="69" w:name="_GoBack"/>
      <w:bookmarkEnd w:id="69"/>
      <w:r w:rsidRPr="00E37289">
        <w:t xml:space="preserve">Prilog </w:t>
      </w:r>
      <w:r>
        <w:t>3</w:t>
      </w:r>
      <w:r w:rsidRPr="00E37289">
        <w:t xml:space="preserve">: </w:t>
      </w:r>
      <w:r w:rsidRPr="00A223E7">
        <w:t>Projektne fiše</w:t>
      </w:r>
      <w:r>
        <w:t xml:space="preserve"> (prilažu se u strateški dokument ukoliko Razvojni tim tako odluči, u suprotnom se izdvajaju u poseban elektronski dokument koji se adekvatno pohranjuje)</w:t>
      </w:r>
      <w:bookmarkEnd w:id="67"/>
      <w:bookmarkEnd w:id="68"/>
    </w:p>
    <w:p w14:paraId="6EEF3CF0" w14:textId="77777777" w:rsidR="004F4EE7" w:rsidRDefault="004F4EE7" w:rsidP="004F4EE7"/>
    <w:sectPr w:rsidR="004F4EE7" w:rsidSect="004E58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0D7B3" w14:textId="77777777" w:rsidR="00D6421B" w:rsidRDefault="00D6421B" w:rsidP="003B497A">
      <w:r>
        <w:separator/>
      </w:r>
    </w:p>
  </w:endnote>
  <w:endnote w:type="continuationSeparator" w:id="0">
    <w:p w14:paraId="1A053C49" w14:textId="77777777" w:rsidR="00D6421B" w:rsidRDefault="00D6421B" w:rsidP="003B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ir Times">
    <w:altName w:val="Times New Roman"/>
    <w:charset w:val="00"/>
    <w:family w:val="roman"/>
    <w:pitch w:val="variable"/>
    <w:sig w:usb0="00000003" w:usb1="00000000" w:usb2="00000000" w:usb3="00000000" w:csb0="00000001" w:csb1="00000000"/>
  </w:font>
  <w:font w:name="TTE1FFBE00t00">
    <w:altName w:val="Arial Unicode MS"/>
    <w:panose1 w:val="00000000000000000000"/>
    <w:charset w:val="80"/>
    <w:family w:val="auto"/>
    <w:notTrueType/>
    <w:pitch w:val="default"/>
    <w:sig w:usb0="00000000"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6BDB" w14:textId="13222584" w:rsidR="00B838EC" w:rsidRDefault="00B838EC">
    <w:pPr>
      <w:pStyle w:val="Footer"/>
      <w:jc w:val="right"/>
    </w:pPr>
    <w:r>
      <w:fldChar w:fldCharType="begin"/>
    </w:r>
    <w:r>
      <w:instrText xml:space="preserve"> PAGE   \* MERGEFORMAT </w:instrText>
    </w:r>
    <w:r>
      <w:fldChar w:fldCharType="separate"/>
    </w:r>
    <w:r>
      <w:rPr>
        <w:noProof/>
      </w:rPr>
      <w:t>37</w:t>
    </w:r>
    <w:r>
      <w:fldChar w:fldCharType="end"/>
    </w:r>
  </w:p>
  <w:p w14:paraId="50E0871A" w14:textId="77777777" w:rsidR="00B838EC" w:rsidRDefault="00B83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320015"/>
      <w:docPartObj>
        <w:docPartGallery w:val="Page Numbers (Bottom of Page)"/>
        <w:docPartUnique/>
      </w:docPartObj>
    </w:sdtPr>
    <w:sdtEndPr>
      <w:rPr>
        <w:noProof/>
      </w:rPr>
    </w:sdtEndPr>
    <w:sdtContent>
      <w:p w14:paraId="73961C89" w14:textId="4FFF635F" w:rsidR="00B838EC" w:rsidRDefault="00B838E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60D1A67C" w14:textId="77777777" w:rsidR="00B838EC" w:rsidRDefault="00B83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E32D" w14:textId="77777777" w:rsidR="00D6421B" w:rsidRDefault="00D6421B" w:rsidP="003B497A">
      <w:r>
        <w:separator/>
      </w:r>
    </w:p>
  </w:footnote>
  <w:footnote w:type="continuationSeparator" w:id="0">
    <w:p w14:paraId="362B2A6A" w14:textId="77777777" w:rsidR="00D6421B" w:rsidRDefault="00D6421B" w:rsidP="003B497A">
      <w:r>
        <w:continuationSeparator/>
      </w:r>
    </w:p>
  </w:footnote>
  <w:footnote w:id="1">
    <w:p w14:paraId="2DB94CDC" w14:textId="77777777" w:rsidR="00B838EC" w:rsidRDefault="00B838EC" w:rsidP="001A1F9F">
      <w:pPr>
        <w:pStyle w:val="FootnoteText"/>
      </w:pPr>
      <w:r>
        <w:rPr>
          <w:rStyle w:val="FootnoteReference"/>
        </w:rPr>
        <w:t>[2]</w:t>
      </w:r>
      <w:r>
        <w:t xml:space="preserve"> Republički zavod za statistiku Republike Srpske, Popis stanovništva, domaćinstava i stanova u Republici Srpskoj 2013. Rezultati popisa. Banja Luka, 2016. </w:t>
      </w:r>
    </w:p>
  </w:footnote>
  <w:footnote w:id="2">
    <w:p w14:paraId="38C64DC4" w14:textId="77777777" w:rsidR="00B838EC" w:rsidRDefault="00B838EC">
      <w:pPr>
        <w:pStyle w:val="FootnoteText"/>
      </w:pPr>
      <w:r>
        <w:rPr>
          <w:rStyle w:val="FootnoteReference"/>
        </w:rPr>
        <w:footnoteRef/>
      </w:r>
      <w:r>
        <w:t xml:space="preserve"> </w:t>
      </w:r>
      <w:r w:rsidRPr="00321541">
        <w:t>Izvor: Bilten demografske statistike broj 9</w:t>
      </w:r>
      <w:r>
        <w:t xml:space="preserve"> </w:t>
      </w:r>
    </w:p>
  </w:footnote>
  <w:footnote w:id="3">
    <w:p w14:paraId="6D35E0FB" w14:textId="4A008B5D" w:rsidR="00B838EC" w:rsidRPr="002B2AB2" w:rsidRDefault="00B838EC">
      <w:pPr>
        <w:pStyle w:val="FootnoteText"/>
      </w:pPr>
      <w:r>
        <w:rPr>
          <w:rStyle w:val="FootnoteReference"/>
        </w:rPr>
        <w:footnoteRef/>
      </w:r>
      <w:r>
        <w:t xml:space="preserve"> </w:t>
      </w:r>
      <w:r w:rsidRPr="002B2AB2">
        <w:rPr>
          <w:i/>
          <w:szCs w:val="18"/>
          <w:highlight w:val="cyan"/>
        </w:rPr>
        <w:t>APIF – privredni subjekti koji su predali završni račun i broj preduzetnika na osnovu evidencije Odjeljenja za LER</w:t>
      </w:r>
    </w:p>
  </w:footnote>
  <w:footnote w:id="4">
    <w:p w14:paraId="4BBBB439" w14:textId="77777777" w:rsidR="00B838EC" w:rsidRPr="00F95EF1" w:rsidRDefault="00B838EC" w:rsidP="00CE584D">
      <w:pPr>
        <w:pStyle w:val="FootnoteText"/>
        <w:jc w:val="both"/>
        <w:rPr>
          <w:rFonts w:cs="Arial"/>
          <w:sz w:val="18"/>
          <w:szCs w:val="18"/>
          <w:shd w:val="clear" w:color="auto" w:fill="FFFFFF"/>
        </w:rPr>
      </w:pPr>
      <w:r>
        <w:rPr>
          <w:rStyle w:val="FootnoteReference"/>
        </w:rPr>
        <w:footnoteRef/>
      </w:r>
      <w:r>
        <w:t xml:space="preserve"> </w:t>
      </w:r>
      <w:r w:rsidRPr="00F95EF1">
        <w:rPr>
          <w:rFonts w:cs="Arial"/>
          <w:sz w:val="18"/>
          <w:szCs w:val="18"/>
          <w:shd w:val="clear" w:color="auto" w:fill="FFFFFF"/>
        </w:rPr>
        <w:t xml:space="preserve">TRON System d.o.o. je kompanija koja preuzima finansijske podatke o privrednim društima u </w:t>
      </w:r>
      <w:r>
        <w:rPr>
          <w:rFonts w:cs="Arial"/>
          <w:sz w:val="18"/>
          <w:szCs w:val="18"/>
          <w:shd w:val="clear" w:color="auto" w:fill="FFFFFF"/>
        </w:rPr>
        <w:t>BiH</w:t>
      </w:r>
      <w:r w:rsidRPr="00F95EF1">
        <w:rPr>
          <w:rFonts w:cs="Arial"/>
          <w:sz w:val="18"/>
          <w:szCs w:val="18"/>
          <w:shd w:val="clear" w:color="auto" w:fill="FFFFFF"/>
        </w:rPr>
        <w:t xml:space="preserve"> of APIF-a i AFIP-a. </w:t>
      </w:r>
    </w:p>
    <w:p w14:paraId="12C20E52" w14:textId="7AFDCACA" w:rsidR="00B838EC" w:rsidRPr="00CE584D" w:rsidRDefault="00B838EC" w:rsidP="00CE584D">
      <w:pPr>
        <w:pStyle w:val="FootnoteText"/>
        <w:jc w:val="both"/>
        <w:rPr>
          <w:lang w:val="en-US"/>
        </w:rPr>
      </w:pPr>
      <w:r w:rsidRPr="00F95EF1">
        <w:rPr>
          <w:rFonts w:asciiTheme="minorHAnsi" w:hAnsiTheme="minorHAnsi" w:cstheme="minorHAnsi"/>
          <w:i/>
          <w:sz w:val="18"/>
          <w:szCs w:val="18"/>
        </w:rPr>
        <w:t xml:space="preserve">Napomena: </w:t>
      </w:r>
      <w:r w:rsidRPr="00F95EF1">
        <w:rPr>
          <w:rFonts w:asciiTheme="minorHAnsi" w:hAnsiTheme="minorHAnsi" w:cstheme="minorHAnsi"/>
          <w:i/>
          <w:sz w:val="18"/>
          <w:szCs w:val="18"/>
          <w:lang w:val="sr-Cyrl-BA"/>
        </w:rPr>
        <w:t xml:space="preserve">Prema Zakonu o privrednim društvima RS termin </w:t>
      </w:r>
      <w:r w:rsidRPr="00F95EF1">
        <w:rPr>
          <w:rFonts w:asciiTheme="minorHAnsi" w:hAnsiTheme="minorHAnsi" w:cstheme="minorHAnsi"/>
          <w:i/>
          <w:sz w:val="18"/>
          <w:szCs w:val="18"/>
        </w:rPr>
        <w:t>„</w:t>
      </w:r>
      <w:r w:rsidRPr="00F95EF1">
        <w:rPr>
          <w:rFonts w:asciiTheme="minorHAnsi" w:hAnsiTheme="minorHAnsi" w:cstheme="minorHAnsi"/>
          <w:i/>
          <w:sz w:val="18"/>
          <w:szCs w:val="18"/>
          <w:lang w:val="sr-Cyrl-BA"/>
        </w:rPr>
        <w:t>preduzeća</w:t>
      </w:r>
      <w:r w:rsidRPr="00F95EF1">
        <w:rPr>
          <w:rFonts w:asciiTheme="minorHAnsi" w:hAnsiTheme="minorHAnsi" w:cstheme="minorHAnsi"/>
          <w:i/>
          <w:sz w:val="18"/>
          <w:szCs w:val="18"/>
        </w:rPr>
        <w:t>“</w:t>
      </w:r>
      <w:r w:rsidRPr="00F95EF1">
        <w:rPr>
          <w:rFonts w:asciiTheme="minorHAnsi" w:hAnsiTheme="minorHAnsi" w:cstheme="minorHAnsi"/>
          <w:i/>
          <w:sz w:val="18"/>
          <w:szCs w:val="18"/>
          <w:lang w:val="sr-Cyrl-BA"/>
        </w:rPr>
        <w:t xml:space="preserve"> je zamijenjen terminom </w:t>
      </w:r>
      <w:r w:rsidRPr="00F95EF1">
        <w:rPr>
          <w:rFonts w:asciiTheme="minorHAnsi" w:hAnsiTheme="minorHAnsi" w:cstheme="minorHAnsi"/>
          <w:i/>
          <w:sz w:val="18"/>
          <w:szCs w:val="18"/>
        </w:rPr>
        <w:t>„</w:t>
      </w:r>
      <w:r w:rsidRPr="00F95EF1">
        <w:rPr>
          <w:rFonts w:asciiTheme="minorHAnsi" w:hAnsiTheme="minorHAnsi" w:cstheme="minorHAnsi"/>
          <w:i/>
          <w:sz w:val="18"/>
          <w:szCs w:val="18"/>
          <w:lang w:val="sr-Cyrl-BA"/>
        </w:rPr>
        <w:t>privredna društva</w:t>
      </w:r>
      <w:r w:rsidRPr="00F95EF1">
        <w:rPr>
          <w:rFonts w:asciiTheme="minorHAnsi" w:hAnsiTheme="minorHAnsi" w:cstheme="minorHAnsi"/>
          <w:i/>
          <w:sz w:val="18"/>
          <w:szCs w:val="18"/>
        </w:rPr>
        <w:t>“,</w:t>
      </w:r>
      <w:r w:rsidRPr="00F95EF1">
        <w:rPr>
          <w:rFonts w:asciiTheme="minorHAnsi" w:hAnsiTheme="minorHAnsi" w:cstheme="minorHAnsi"/>
          <w:i/>
          <w:sz w:val="18"/>
          <w:szCs w:val="18"/>
          <w:lang w:val="sr-Cyrl-BA"/>
        </w:rPr>
        <w:t xml:space="preserve"> ali će</w:t>
      </w:r>
      <w:r w:rsidRPr="00F95EF1">
        <w:rPr>
          <w:rFonts w:asciiTheme="minorHAnsi" w:hAnsiTheme="minorHAnsi" w:cstheme="minorHAnsi"/>
          <w:i/>
          <w:sz w:val="18"/>
          <w:szCs w:val="18"/>
        </w:rPr>
        <w:t xml:space="preserve"> se</w:t>
      </w:r>
      <w:r w:rsidRPr="00F95EF1">
        <w:rPr>
          <w:rFonts w:asciiTheme="minorHAnsi" w:hAnsiTheme="minorHAnsi" w:cstheme="minorHAnsi"/>
          <w:i/>
          <w:sz w:val="18"/>
          <w:szCs w:val="18"/>
          <w:lang w:val="sr-Cyrl-BA"/>
        </w:rPr>
        <w:t xml:space="preserve"> zbog jednostavnije formulacije rečenica u analizi koristiti termin „preduzeća“</w:t>
      </w:r>
      <w:r w:rsidRPr="00F95EF1">
        <w:rPr>
          <w:rFonts w:asciiTheme="minorHAnsi" w:hAnsiTheme="minorHAnsi" w:cstheme="minorHAnsi"/>
          <w:i/>
          <w:sz w:val="18"/>
          <w:szCs w:val="18"/>
        </w:rPr>
        <w:t>.</w:t>
      </w:r>
    </w:p>
  </w:footnote>
  <w:footnote w:id="5">
    <w:p w14:paraId="2E886EFF" w14:textId="469BEFCE" w:rsidR="00B838EC" w:rsidRPr="00952C5E" w:rsidRDefault="00B838EC" w:rsidP="002B6EB6">
      <w:pPr>
        <w:pStyle w:val="FootnoteText"/>
        <w:rPr>
          <w:color w:val="FF0000"/>
        </w:rPr>
      </w:pPr>
      <w:r w:rsidRPr="002B6EB6">
        <w:rPr>
          <w:rStyle w:val="FootnoteReference"/>
          <w:highlight w:val="cyan"/>
        </w:rPr>
        <w:footnoteRef/>
      </w:r>
      <w:r>
        <w:rPr>
          <w:highlight w:val="cyan"/>
          <w:lang w:val="en-US"/>
        </w:rPr>
        <w:t xml:space="preserve"> </w:t>
      </w:r>
      <w:r w:rsidRPr="002B6EB6">
        <w:rPr>
          <w:highlight w:val="cyan"/>
          <w:lang w:val="en-US"/>
        </w:rPr>
        <w:t>Postupak se vodi pred Republičkom upravom za geodetske i imovinsko-pravne poslove, Područna jedinica Prnjavor.</w:t>
      </w:r>
    </w:p>
  </w:footnote>
  <w:footnote w:id="6">
    <w:p w14:paraId="4316F95D" w14:textId="77777777" w:rsidR="00B838EC" w:rsidRDefault="00B838EC" w:rsidP="002B6EB6">
      <w:pPr>
        <w:pStyle w:val="FootnoteText"/>
      </w:pPr>
      <w:r>
        <w:rPr>
          <w:rStyle w:val="FootnoteReference"/>
        </w:rPr>
        <w:footnoteRef/>
      </w:r>
      <w:r>
        <w:t xml:space="preserve"> Izvor: </w:t>
      </w:r>
      <w:r w:rsidRPr="006E4C1B">
        <w:t>Izvještaj o srednjoročnoj evaluaciji Strategije integrisanog lokalnog razvoja opštine Prnjavor za period evaluacije 2012-2015. godina</w:t>
      </w:r>
      <w:r>
        <w:t xml:space="preserve">, Decembar 2016. </w:t>
      </w:r>
    </w:p>
  </w:footnote>
  <w:footnote w:id="7">
    <w:p w14:paraId="2AA23ABC" w14:textId="77777777" w:rsidR="00B838EC" w:rsidRDefault="00B838EC">
      <w:pPr>
        <w:pStyle w:val="FootnoteText"/>
      </w:pPr>
      <w:r>
        <w:rPr>
          <w:rStyle w:val="FootnoteReference"/>
        </w:rPr>
        <w:footnoteRef/>
      </w:r>
      <w:r>
        <w:t xml:space="preserve"> Izvor: </w:t>
      </w:r>
      <w:r w:rsidRPr="006E4C1B">
        <w:t>Izvještaj o srednjoročnoj evaluaciji Strategije integrisanog lokalnog razvoja opštine Prnjavor za period evaluacije 2012-2015. godina</w:t>
      </w:r>
      <w:r>
        <w:t xml:space="preserve">, Decembar 2016. </w:t>
      </w:r>
    </w:p>
  </w:footnote>
  <w:footnote w:id="8">
    <w:p w14:paraId="2CB412AB" w14:textId="77777777" w:rsidR="00B838EC" w:rsidRDefault="00B838EC">
      <w:pPr>
        <w:pStyle w:val="FootnoteText"/>
      </w:pPr>
      <w:r>
        <w:rPr>
          <w:rStyle w:val="FootnoteReference"/>
        </w:rPr>
        <w:footnoteRef/>
      </w:r>
      <w:r>
        <w:t xml:space="preserve"> Izvor: </w:t>
      </w:r>
      <w:r w:rsidRPr="006E4C1B">
        <w:t>Izvještaj o srednjoročnoj evaluaciji Strategije integrisanog lokalnog razvoja opštine Prnjavor za period evaluacije 2012-2015. godina</w:t>
      </w:r>
      <w:r>
        <w:t xml:space="preserve">, Decembar 2016. </w:t>
      </w:r>
    </w:p>
  </w:footnote>
  <w:footnote w:id="9">
    <w:p w14:paraId="133CF1D5" w14:textId="77777777" w:rsidR="00B838EC" w:rsidRDefault="00B838EC">
      <w:pPr>
        <w:pStyle w:val="FootnoteText"/>
      </w:pPr>
      <w:r>
        <w:rPr>
          <w:rStyle w:val="FootnoteReference"/>
        </w:rPr>
        <w:footnoteRef/>
      </w:r>
      <w:r>
        <w:t xml:space="preserve"> Izvor: </w:t>
      </w:r>
      <w:r w:rsidRPr="006E4C1B">
        <w:t>Izvještaj o srednjoročnoj evaluaciji Strategije integrisanog lokalnog razvoja opštine Prnjavor za period evaluacije 2012-2015. godina</w:t>
      </w:r>
      <w:r>
        <w:t>, Decembar 2016.</w:t>
      </w:r>
    </w:p>
  </w:footnote>
  <w:footnote w:id="10">
    <w:p w14:paraId="24162557" w14:textId="77777777" w:rsidR="00B838EC" w:rsidRDefault="00B838EC">
      <w:pPr>
        <w:pStyle w:val="FootnoteText"/>
      </w:pPr>
      <w:r>
        <w:rPr>
          <w:rStyle w:val="FootnoteReference"/>
        </w:rPr>
        <w:footnoteRef/>
      </w:r>
      <w:r>
        <w:t xml:space="preserve"> Izvor: </w:t>
      </w:r>
      <w:r w:rsidRPr="006E4C1B">
        <w:t>Izvještaj o srednjoročnoj evaluaciji Strategije integrisanog lokalnog razvoja opštine Prnjavor za period evaluacije 2012-2015. godina</w:t>
      </w:r>
      <w:r>
        <w:t xml:space="preserve">, Decembar 2016. </w:t>
      </w:r>
    </w:p>
  </w:footnote>
  <w:footnote w:id="11">
    <w:p w14:paraId="00A32D7C" w14:textId="77777777" w:rsidR="00B838EC" w:rsidRDefault="00B838EC">
      <w:pPr>
        <w:pStyle w:val="FootnoteText"/>
      </w:pPr>
      <w:r>
        <w:rPr>
          <w:rStyle w:val="FootnoteReference"/>
        </w:rPr>
        <w:footnoteRef/>
      </w:r>
      <w:r>
        <w:t xml:space="preserve"> Izvor: </w:t>
      </w:r>
      <w:r w:rsidRPr="006E4C1B">
        <w:t>Izvještaj o srednjoročnoj evaluaciji Strategije integrisanog lokalnog razvoja opštine Prnjavor za period evaluacije 2012-2015. godina</w:t>
      </w:r>
      <w:r>
        <w:t>, Decembar 2016.</w:t>
      </w:r>
    </w:p>
  </w:footnote>
  <w:footnote w:id="12">
    <w:p w14:paraId="0F14AE57" w14:textId="77777777" w:rsidR="00B838EC" w:rsidRDefault="00B838EC">
      <w:pPr>
        <w:pStyle w:val="FootnoteText"/>
      </w:pPr>
      <w:r>
        <w:rPr>
          <w:rStyle w:val="FootnoteReference"/>
        </w:rPr>
        <w:footnoteRef/>
      </w:r>
      <w:r>
        <w:t xml:space="preserve"> Izvor: </w:t>
      </w:r>
      <w:r w:rsidRPr="006E4C1B">
        <w:t>Izvještaj o srednjoročnoj evaluaciji Strategije integrisanog lokalnog razvoja opštine Prnjavor za period evaluacije 2012-2015. godina</w:t>
      </w:r>
      <w:r>
        <w:t>, Decembar 2016.</w:t>
      </w:r>
    </w:p>
  </w:footnote>
  <w:footnote w:id="13">
    <w:p w14:paraId="2770ED3D" w14:textId="77777777" w:rsidR="00B838EC" w:rsidRDefault="00B838EC">
      <w:pPr>
        <w:pStyle w:val="FootnoteText"/>
      </w:pPr>
      <w:r>
        <w:rPr>
          <w:rStyle w:val="FootnoteReference"/>
        </w:rPr>
        <w:footnoteRef/>
      </w:r>
      <w:r>
        <w:t xml:space="preserve"> Izvor: </w:t>
      </w:r>
      <w:r w:rsidRPr="006E4C1B">
        <w:t>Izvještaj o srednjoročnoj evaluaciji Strategije integrisanog lokalnog razvoja opštine Prnjavor za period evaluacije 2012-2015. godina</w:t>
      </w:r>
      <w:r>
        <w:t xml:space="preserve">, Decembar 2016. </w:t>
      </w:r>
    </w:p>
  </w:footnote>
  <w:footnote w:id="14">
    <w:p w14:paraId="324A13E4" w14:textId="77777777" w:rsidR="00B838EC" w:rsidRDefault="00B838EC" w:rsidP="00FE7BA2">
      <w:pPr>
        <w:pStyle w:val="FootnoteText"/>
      </w:pPr>
      <w:r>
        <w:rPr>
          <w:rStyle w:val="FootnoteReference"/>
        </w:rPr>
        <w:footnoteRef/>
      </w:r>
      <w:r>
        <w:t xml:space="preserve"> Izvor: </w:t>
      </w:r>
      <w:r w:rsidRPr="006E4C1B">
        <w:t>Izvještaj o srednjoročnoj evaluaciji Strategije integrisanog lokalnog razvoja opštine Prnjavor za period evaluacije 2012-2015. godina</w:t>
      </w:r>
      <w:r>
        <w:t xml:space="preserve">, Decembar 2016. </w:t>
      </w:r>
    </w:p>
  </w:footnote>
  <w:footnote w:id="15">
    <w:p w14:paraId="5EE9E20A" w14:textId="77777777" w:rsidR="00B838EC" w:rsidRDefault="00B838EC">
      <w:pPr>
        <w:pStyle w:val="FootnoteText"/>
      </w:pPr>
      <w:r>
        <w:rPr>
          <w:rStyle w:val="FootnoteReference"/>
        </w:rPr>
        <w:footnoteRef/>
      </w:r>
      <w:r>
        <w:t xml:space="preserve"> Izvor: </w:t>
      </w:r>
      <w:r w:rsidRPr="006E4C1B">
        <w:t>Izvještaj o srednjoročnoj evaluaciji Strategije integrisanog lokalnog razvoja opštine Prnjavor za period evaluacije 2012-2015. godina</w:t>
      </w:r>
      <w:r>
        <w:t>, Decembar 2016.</w:t>
      </w:r>
    </w:p>
  </w:footnote>
  <w:footnote w:id="16">
    <w:p w14:paraId="4D917169" w14:textId="77777777" w:rsidR="00B838EC" w:rsidRDefault="00B838EC">
      <w:pPr>
        <w:pStyle w:val="FootnoteText"/>
      </w:pPr>
      <w:r>
        <w:rPr>
          <w:rStyle w:val="FootnoteReference"/>
        </w:rPr>
        <w:footnoteRef/>
      </w:r>
      <w:r>
        <w:t xml:space="preserve"> Izvor: </w:t>
      </w:r>
      <w:r w:rsidRPr="006E4C1B">
        <w:t>Izvještaj o srednjoročnoj evaluaciji Strategije integrisanog lokalnog razvoja opštine Prnjavor za period evaluacije 2012-2015. godina</w:t>
      </w:r>
      <w:r>
        <w:t>, Decembar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370"/>
    <w:multiLevelType w:val="hybridMultilevel"/>
    <w:tmpl w:val="1A7A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D4E54"/>
    <w:multiLevelType w:val="multilevel"/>
    <w:tmpl w:val="167C1BBC"/>
    <w:lvl w:ilvl="0">
      <w:start w:val="1"/>
      <w:numFmt w:val="decimal"/>
      <w:lvlText w:val="%1."/>
      <w:lvlJc w:val="left"/>
      <w:pPr>
        <w:ind w:left="720" w:hanging="360"/>
      </w:p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F27869"/>
    <w:multiLevelType w:val="hybridMultilevel"/>
    <w:tmpl w:val="72D601D8"/>
    <w:lvl w:ilvl="0" w:tplc="181A000B">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 w15:restartNumberingAfterBreak="0">
    <w:nsid w:val="07F5691C"/>
    <w:multiLevelType w:val="hybridMultilevel"/>
    <w:tmpl w:val="3132CB46"/>
    <w:lvl w:ilvl="0" w:tplc="8E4EB3EC">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 w15:restartNumberingAfterBreak="0">
    <w:nsid w:val="089613C2"/>
    <w:multiLevelType w:val="hybridMultilevel"/>
    <w:tmpl w:val="60EE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60475"/>
    <w:multiLevelType w:val="multilevel"/>
    <w:tmpl w:val="446E9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4120E1"/>
    <w:multiLevelType w:val="hybridMultilevel"/>
    <w:tmpl w:val="39FAB6E4"/>
    <w:lvl w:ilvl="0" w:tplc="FEBAB3A0">
      <w:numFmt w:val="bullet"/>
      <w:lvlText w:val="-"/>
      <w:lvlJc w:val="left"/>
      <w:pPr>
        <w:ind w:left="720" w:hanging="360"/>
      </w:pPr>
      <w:rPr>
        <w:rFonts w:ascii="Times New Roman" w:eastAsia="Calibr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15:restartNumberingAfterBreak="0">
    <w:nsid w:val="1A82322B"/>
    <w:multiLevelType w:val="hybridMultilevel"/>
    <w:tmpl w:val="99D0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E7E8C"/>
    <w:multiLevelType w:val="hybridMultilevel"/>
    <w:tmpl w:val="5052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F2D72"/>
    <w:multiLevelType w:val="hybridMultilevel"/>
    <w:tmpl w:val="5780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210C5"/>
    <w:multiLevelType w:val="hybridMultilevel"/>
    <w:tmpl w:val="330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A6E43"/>
    <w:multiLevelType w:val="hybridMultilevel"/>
    <w:tmpl w:val="80BAE93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A050F6"/>
    <w:multiLevelType w:val="hybridMultilevel"/>
    <w:tmpl w:val="4F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165B0"/>
    <w:multiLevelType w:val="multilevel"/>
    <w:tmpl w:val="93FCB94A"/>
    <w:lvl w:ilvl="0">
      <w:start w:val="1"/>
      <w:numFmt w:val="bullet"/>
      <w:lvlText w:val=""/>
      <w:lvlJc w:val="left"/>
      <w:pPr>
        <w:ind w:left="720" w:hanging="360"/>
      </w:pPr>
      <w:rPr>
        <w:rFonts w:ascii="Wingdings" w:hAnsi="Wingdings" w:hint="default"/>
      </w:rPr>
    </w:lvl>
    <w:lvl w:ilvl="1">
      <w:start w:val="1"/>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14" w15:restartNumberingAfterBreak="0">
    <w:nsid w:val="41051DD1"/>
    <w:multiLevelType w:val="hybridMultilevel"/>
    <w:tmpl w:val="B0C2AEA0"/>
    <w:lvl w:ilvl="0" w:tplc="563CBB2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BB306F"/>
    <w:multiLevelType w:val="hybridMultilevel"/>
    <w:tmpl w:val="82A6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6703"/>
    <w:multiLevelType w:val="hybridMultilevel"/>
    <w:tmpl w:val="49D8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44179"/>
    <w:multiLevelType w:val="hybridMultilevel"/>
    <w:tmpl w:val="22849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27BD6"/>
    <w:multiLevelType w:val="hybridMultilevel"/>
    <w:tmpl w:val="3E36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923B3"/>
    <w:multiLevelType w:val="hybridMultilevel"/>
    <w:tmpl w:val="6E94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44F82"/>
    <w:multiLevelType w:val="hybridMultilevel"/>
    <w:tmpl w:val="31CE1EF8"/>
    <w:lvl w:ilvl="0" w:tplc="69E86110">
      <w:numFmt w:val="bullet"/>
      <w:lvlText w:val="-"/>
      <w:lvlJc w:val="left"/>
      <w:pPr>
        <w:ind w:left="1080" w:hanging="360"/>
      </w:pPr>
      <w:rPr>
        <w:rFonts w:ascii="Times New Roman" w:eastAsia="Times New Roman" w:hAnsi="Times New Roman" w:cs="Times New Roman" w:hint="default"/>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21" w15:restartNumberingAfterBreak="0">
    <w:nsid w:val="65843ECA"/>
    <w:multiLevelType w:val="hybridMultilevel"/>
    <w:tmpl w:val="1E2E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26C7A"/>
    <w:multiLevelType w:val="hybridMultilevel"/>
    <w:tmpl w:val="624ECDFE"/>
    <w:lvl w:ilvl="0" w:tplc="0409000F">
      <w:start w:val="1"/>
      <w:numFmt w:val="decimal"/>
      <w:lvlText w:val="%1."/>
      <w:lvlJc w:val="left"/>
      <w:pPr>
        <w:tabs>
          <w:tab w:val="num" w:pos="720"/>
        </w:tabs>
        <w:ind w:left="720" w:hanging="360"/>
      </w:pPr>
      <w:rPr>
        <w:rFonts w:hint="default"/>
      </w:rPr>
    </w:lvl>
    <w:lvl w:ilvl="1" w:tplc="C8C01CF0">
      <w:start w:val="1"/>
      <w:numFmt w:val="bullet"/>
      <w:lvlText w:val="•"/>
      <w:lvlJc w:val="left"/>
      <w:pPr>
        <w:tabs>
          <w:tab w:val="num" w:pos="1440"/>
        </w:tabs>
        <w:ind w:left="1440" w:hanging="360"/>
      </w:pPr>
      <w:rPr>
        <w:rFonts w:ascii="Arial" w:hAnsi="Arial" w:hint="default"/>
      </w:rPr>
    </w:lvl>
    <w:lvl w:ilvl="2" w:tplc="9F36510A">
      <w:start w:val="1"/>
      <w:numFmt w:val="bullet"/>
      <w:lvlText w:val="•"/>
      <w:lvlJc w:val="left"/>
      <w:pPr>
        <w:tabs>
          <w:tab w:val="num" w:pos="2160"/>
        </w:tabs>
        <w:ind w:left="2160" w:hanging="360"/>
      </w:pPr>
      <w:rPr>
        <w:rFonts w:ascii="Arial" w:hAnsi="Arial" w:hint="default"/>
      </w:rPr>
    </w:lvl>
    <w:lvl w:ilvl="3" w:tplc="79A2D4CC" w:tentative="1">
      <w:start w:val="1"/>
      <w:numFmt w:val="bullet"/>
      <w:lvlText w:val="•"/>
      <w:lvlJc w:val="left"/>
      <w:pPr>
        <w:tabs>
          <w:tab w:val="num" w:pos="2880"/>
        </w:tabs>
        <w:ind w:left="2880" w:hanging="360"/>
      </w:pPr>
      <w:rPr>
        <w:rFonts w:ascii="Arial" w:hAnsi="Arial" w:hint="default"/>
      </w:rPr>
    </w:lvl>
    <w:lvl w:ilvl="4" w:tplc="40B03216" w:tentative="1">
      <w:start w:val="1"/>
      <w:numFmt w:val="bullet"/>
      <w:lvlText w:val="•"/>
      <w:lvlJc w:val="left"/>
      <w:pPr>
        <w:tabs>
          <w:tab w:val="num" w:pos="3600"/>
        </w:tabs>
        <w:ind w:left="3600" w:hanging="360"/>
      </w:pPr>
      <w:rPr>
        <w:rFonts w:ascii="Arial" w:hAnsi="Arial" w:hint="default"/>
      </w:rPr>
    </w:lvl>
    <w:lvl w:ilvl="5" w:tplc="E9B0C526" w:tentative="1">
      <w:start w:val="1"/>
      <w:numFmt w:val="bullet"/>
      <w:lvlText w:val="•"/>
      <w:lvlJc w:val="left"/>
      <w:pPr>
        <w:tabs>
          <w:tab w:val="num" w:pos="4320"/>
        </w:tabs>
        <w:ind w:left="4320" w:hanging="360"/>
      </w:pPr>
      <w:rPr>
        <w:rFonts w:ascii="Arial" w:hAnsi="Arial" w:hint="default"/>
      </w:rPr>
    </w:lvl>
    <w:lvl w:ilvl="6" w:tplc="F63E5D14" w:tentative="1">
      <w:start w:val="1"/>
      <w:numFmt w:val="bullet"/>
      <w:lvlText w:val="•"/>
      <w:lvlJc w:val="left"/>
      <w:pPr>
        <w:tabs>
          <w:tab w:val="num" w:pos="5040"/>
        </w:tabs>
        <w:ind w:left="5040" w:hanging="360"/>
      </w:pPr>
      <w:rPr>
        <w:rFonts w:ascii="Arial" w:hAnsi="Arial" w:hint="default"/>
      </w:rPr>
    </w:lvl>
    <w:lvl w:ilvl="7" w:tplc="54B2A6EA" w:tentative="1">
      <w:start w:val="1"/>
      <w:numFmt w:val="bullet"/>
      <w:lvlText w:val="•"/>
      <w:lvlJc w:val="left"/>
      <w:pPr>
        <w:tabs>
          <w:tab w:val="num" w:pos="5760"/>
        </w:tabs>
        <w:ind w:left="5760" w:hanging="360"/>
      </w:pPr>
      <w:rPr>
        <w:rFonts w:ascii="Arial" w:hAnsi="Arial" w:hint="default"/>
      </w:rPr>
    </w:lvl>
    <w:lvl w:ilvl="8" w:tplc="DBCCCA4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80666A"/>
    <w:multiLevelType w:val="hybridMultilevel"/>
    <w:tmpl w:val="6E10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369E7"/>
    <w:multiLevelType w:val="hybridMultilevel"/>
    <w:tmpl w:val="9F62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73543"/>
    <w:multiLevelType w:val="hybridMultilevel"/>
    <w:tmpl w:val="31FC0CC0"/>
    <w:lvl w:ilvl="0" w:tplc="0ABC32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F77D52"/>
    <w:multiLevelType w:val="hybridMultilevel"/>
    <w:tmpl w:val="FB3CC0F0"/>
    <w:lvl w:ilvl="0" w:tplc="2E6A0F3E">
      <w:start w:val="1"/>
      <w:numFmt w:val="bullet"/>
      <w:lvlText w:val="•"/>
      <w:lvlJc w:val="left"/>
      <w:pPr>
        <w:tabs>
          <w:tab w:val="num" w:pos="720"/>
        </w:tabs>
        <w:ind w:left="720" w:hanging="360"/>
      </w:pPr>
      <w:rPr>
        <w:rFonts w:ascii="Arial" w:hAnsi="Arial" w:hint="default"/>
      </w:rPr>
    </w:lvl>
    <w:lvl w:ilvl="1" w:tplc="07B88402" w:tentative="1">
      <w:start w:val="1"/>
      <w:numFmt w:val="bullet"/>
      <w:lvlText w:val="•"/>
      <w:lvlJc w:val="left"/>
      <w:pPr>
        <w:tabs>
          <w:tab w:val="num" w:pos="1440"/>
        </w:tabs>
        <w:ind w:left="1440" w:hanging="360"/>
      </w:pPr>
      <w:rPr>
        <w:rFonts w:ascii="Arial" w:hAnsi="Arial" w:hint="default"/>
      </w:rPr>
    </w:lvl>
    <w:lvl w:ilvl="2" w:tplc="C534D726" w:tentative="1">
      <w:start w:val="1"/>
      <w:numFmt w:val="bullet"/>
      <w:lvlText w:val="•"/>
      <w:lvlJc w:val="left"/>
      <w:pPr>
        <w:tabs>
          <w:tab w:val="num" w:pos="2160"/>
        </w:tabs>
        <w:ind w:left="2160" w:hanging="360"/>
      </w:pPr>
      <w:rPr>
        <w:rFonts w:ascii="Arial" w:hAnsi="Arial" w:hint="default"/>
      </w:rPr>
    </w:lvl>
    <w:lvl w:ilvl="3" w:tplc="6C2AFF4A" w:tentative="1">
      <w:start w:val="1"/>
      <w:numFmt w:val="bullet"/>
      <w:lvlText w:val="•"/>
      <w:lvlJc w:val="left"/>
      <w:pPr>
        <w:tabs>
          <w:tab w:val="num" w:pos="2880"/>
        </w:tabs>
        <w:ind w:left="2880" w:hanging="360"/>
      </w:pPr>
      <w:rPr>
        <w:rFonts w:ascii="Arial" w:hAnsi="Arial" w:hint="default"/>
      </w:rPr>
    </w:lvl>
    <w:lvl w:ilvl="4" w:tplc="4028B882" w:tentative="1">
      <w:start w:val="1"/>
      <w:numFmt w:val="bullet"/>
      <w:lvlText w:val="•"/>
      <w:lvlJc w:val="left"/>
      <w:pPr>
        <w:tabs>
          <w:tab w:val="num" w:pos="3600"/>
        </w:tabs>
        <w:ind w:left="3600" w:hanging="360"/>
      </w:pPr>
      <w:rPr>
        <w:rFonts w:ascii="Arial" w:hAnsi="Arial" w:hint="default"/>
      </w:rPr>
    </w:lvl>
    <w:lvl w:ilvl="5" w:tplc="ECD2D7E2" w:tentative="1">
      <w:start w:val="1"/>
      <w:numFmt w:val="bullet"/>
      <w:lvlText w:val="•"/>
      <w:lvlJc w:val="left"/>
      <w:pPr>
        <w:tabs>
          <w:tab w:val="num" w:pos="4320"/>
        </w:tabs>
        <w:ind w:left="4320" w:hanging="360"/>
      </w:pPr>
      <w:rPr>
        <w:rFonts w:ascii="Arial" w:hAnsi="Arial" w:hint="default"/>
      </w:rPr>
    </w:lvl>
    <w:lvl w:ilvl="6" w:tplc="B37C23B2" w:tentative="1">
      <w:start w:val="1"/>
      <w:numFmt w:val="bullet"/>
      <w:lvlText w:val="•"/>
      <w:lvlJc w:val="left"/>
      <w:pPr>
        <w:tabs>
          <w:tab w:val="num" w:pos="5040"/>
        </w:tabs>
        <w:ind w:left="5040" w:hanging="360"/>
      </w:pPr>
      <w:rPr>
        <w:rFonts w:ascii="Arial" w:hAnsi="Arial" w:hint="default"/>
      </w:rPr>
    </w:lvl>
    <w:lvl w:ilvl="7" w:tplc="E4A2B00A" w:tentative="1">
      <w:start w:val="1"/>
      <w:numFmt w:val="bullet"/>
      <w:lvlText w:val="•"/>
      <w:lvlJc w:val="left"/>
      <w:pPr>
        <w:tabs>
          <w:tab w:val="num" w:pos="5760"/>
        </w:tabs>
        <w:ind w:left="5760" w:hanging="360"/>
      </w:pPr>
      <w:rPr>
        <w:rFonts w:ascii="Arial" w:hAnsi="Arial" w:hint="default"/>
      </w:rPr>
    </w:lvl>
    <w:lvl w:ilvl="8" w:tplc="FCDAE54C"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9"/>
  </w:num>
  <w:num w:numId="3">
    <w:abstractNumId w:val="12"/>
  </w:num>
  <w:num w:numId="4">
    <w:abstractNumId w:val="20"/>
  </w:num>
  <w:num w:numId="5">
    <w:abstractNumId w:val="1"/>
  </w:num>
  <w:num w:numId="6">
    <w:abstractNumId w:val="6"/>
  </w:num>
  <w:num w:numId="7">
    <w:abstractNumId w:val="2"/>
  </w:num>
  <w:num w:numId="8">
    <w:abstractNumId w:val="3"/>
  </w:num>
  <w:num w:numId="9">
    <w:abstractNumId w:val="8"/>
  </w:num>
  <w:num w:numId="10">
    <w:abstractNumId w:val="21"/>
  </w:num>
  <w:num w:numId="11">
    <w:abstractNumId w:val="19"/>
  </w:num>
  <w:num w:numId="12">
    <w:abstractNumId w:val="10"/>
  </w:num>
  <w:num w:numId="13">
    <w:abstractNumId w:val="14"/>
  </w:num>
  <w:num w:numId="14">
    <w:abstractNumId w:val="17"/>
  </w:num>
  <w:num w:numId="15">
    <w:abstractNumId w:val="25"/>
  </w:num>
  <w:num w:numId="16">
    <w:abstractNumId w:val="18"/>
  </w:num>
  <w:num w:numId="17">
    <w:abstractNumId w:val="24"/>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
  </w:num>
  <w:num w:numId="21">
    <w:abstractNumId w:val="7"/>
  </w:num>
  <w:num w:numId="22">
    <w:abstractNumId w:val="0"/>
  </w:num>
  <w:num w:numId="23">
    <w:abstractNumId w:val="16"/>
  </w:num>
  <w:num w:numId="24">
    <w:abstractNumId w:val="15"/>
  </w:num>
  <w:num w:numId="25">
    <w:abstractNumId w:val="5"/>
  </w:num>
  <w:num w:numId="26">
    <w:abstractNumId w:val="11"/>
  </w:num>
  <w:num w:numId="27">
    <w:abstractNumId w:val="26"/>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B3"/>
    <w:rsid w:val="00001BBE"/>
    <w:rsid w:val="00003971"/>
    <w:rsid w:val="00011D9E"/>
    <w:rsid w:val="00011E27"/>
    <w:rsid w:val="00017A93"/>
    <w:rsid w:val="00024F9D"/>
    <w:rsid w:val="00030722"/>
    <w:rsid w:val="00030B3D"/>
    <w:rsid w:val="0003220B"/>
    <w:rsid w:val="0003222C"/>
    <w:rsid w:val="00034F8A"/>
    <w:rsid w:val="00036F11"/>
    <w:rsid w:val="00040662"/>
    <w:rsid w:val="000416A5"/>
    <w:rsid w:val="0004279D"/>
    <w:rsid w:val="000436EA"/>
    <w:rsid w:val="00043C8F"/>
    <w:rsid w:val="000463A4"/>
    <w:rsid w:val="00053974"/>
    <w:rsid w:val="000549B6"/>
    <w:rsid w:val="00055B95"/>
    <w:rsid w:val="0006535E"/>
    <w:rsid w:val="00066837"/>
    <w:rsid w:val="000739B2"/>
    <w:rsid w:val="00081368"/>
    <w:rsid w:val="00081ECF"/>
    <w:rsid w:val="00082AB8"/>
    <w:rsid w:val="00084612"/>
    <w:rsid w:val="00093198"/>
    <w:rsid w:val="000A239A"/>
    <w:rsid w:val="000A6B08"/>
    <w:rsid w:val="000B0F53"/>
    <w:rsid w:val="000B3D1F"/>
    <w:rsid w:val="000B5003"/>
    <w:rsid w:val="000B6E58"/>
    <w:rsid w:val="000B71B9"/>
    <w:rsid w:val="000C0EA6"/>
    <w:rsid w:val="000D7010"/>
    <w:rsid w:val="000D73E8"/>
    <w:rsid w:val="000D78E9"/>
    <w:rsid w:val="000E57C1"/>
    <w:rsid w:val="000F0C4E"/>
    <w:rsid w:val="000F1D52"/>
    <w:rsid w:val="000F464B"/>
    <w:rsid w:val="000F5141"/>
    <w:rsid w:val="000F75E9"/>
    <w:rsid w:val="00100595"/>
    <w:rsid w:val="0010129C"/>
    <w:rsid w:val="00107BF1"/>
    <w:rsid w:val="00112985"/>
    <w:rsid w:val="001202F8"/>
    <w:rsid w:val="00121181"/>
    <w:rsid w:val="001319E9"/>
    <w:rsid w:val="00132E3F"/>
    <w:rsid w:val="00133890"/>
    <w:rsid w:val="0013614F"/>
    <w:rsid w:val="00142063"/>
    <w:rsid w:val="0014277B"/>
    <w:rsid w:val="0015731D"/>
    <w:rsid w:val="00162488"/>
    <w:rsid w:val="001662E1"/>
    <w:rsid w:val="001664E6"/>
    <w:rsid w:val="00174A8B"/>
    <w:rsid w:val="00175DBA"/>
    <w:rsid w:val="00191BF4"/>
    <w:rsid w:val="00194815"/>
    <w:rsid w:val="001A03B0"/>
    <w:rsid w:val="001A1533"/>
    <w:rsid w:val="001A1F9F"/>
    <w:rsid w:val="001A3240"/>
    <w:rsid w:val="001A6910"/>
    <w:rsid w:val="001A7A2E"/>
    <w:rsid w:val="001B078D"/>
    <w:rsid w:val="001B0EB3"/>
    <w:rsid w:val="001B342E"/>
    <w:rsid w:val="001B5BBF"/>
    <w:rsid w:val="001C1AB9"/>
    <w:rsid w:val="001C7931"/>
    <w:rsid w:val="001D2F1F"/>
    <w:rsid w:val="001D6AC0"/>
    <w:rsid w:val="001E1C9F"/>
    <w:rsid w:val="001E28F0"/>
    <w:rsid w:val="001E629F"/>
    <w:rsid w:val="001F19E0"/>
    <w:rsid w:val="001F67C8"/>
    <w:rsid w:val="002003F6"/>
    <w:rsid w:val="002048DB"/>
    <w:rsid w:val="00206F9B"/>
    <w:rsid w:val="002135DD"/>
    <w:rsid w:val="00214F5D"/>
    <w:rsid w:val="00216021"/>
    <w:rsid w:val="00216A6F"/>
    <w:rsid w:val="00221CA8"/>
    <w:rsid w:val="00222F09"/>
    <w:rsid w:val="002252B1"/>
    <w:rsid w:val="00230CC3"/>
    <w:rsid w:val="00233082"/>
    <w:rsid w:val="00240AE7"/>
    <w:rsid w:val="00240E82"/>
    <w:rsid w:val="002410E2"/>
    <w:rsid w:val="00241834"/>
    <w:rsid w:val="00244620"/>
    <w:rsid w:val="00244EFF"/>
    <w:rsid w:val="0025768F"/>
    <w:rsid w:val="00257FD8"/>
    <w:rsid w:val="0026798E"/>
    <w:rsid w:val="00267D38"/>
    <w:rsid w:val="00274ED0"/>
    <w:rsid w:val="00277198"/>
    <w:rsid w:val="0027728A"/>
    <w:rsid w:val="002826B9"/>
    <w:rsid w:val="00282838"/>
    <w:rsid w:val="00284A01"/>
    <w:rsid w:val="002A1B88"/>
    <w:rsid w:val="002A27FA"/>
    <w:rsid w:val="002A3236"/>
    <w:rsid w:val="002A45A2"/>
    <w:rsid w:val="002A65FE"/>
    <w:rsid w:val="002B03A0"/>
    <w:rsid w:val="002B108C"/>
    <w:rsid w:val="002B2A5A"/>
    <w:rsid w:val="002B2AB2"/>
    <w:rsid w:val="002B3F53"/>
    <w:rsid w:val="002B504A"/>
    <w:rsid w:val="002B6D25"/>
    <w:rsid w:val="002B6EB6"/>
    <w:rsid w:val="002C25DE"/>
    <w:rsid w:val="002C5BE9"/>
    <w:rsid w:val="002C6015"/>
    <w:rsid w:val="002C63E6"/>
    <w:rsid w:val="002D1C12"/>
    <w:rsid w:val="002D645B"/>
    <w:rsid w:val="002E0DC4"/>
    <w:rsid w:val="002E2B3A"/>
    <w:rsid w:val="002E3109"/>
    <w:rsid w:val="002F2A72"/>
    <w:rsid w:val="002F6622"/>
    <w:rsid w:val="00312329"/>
    <w:rsid w:val="00313EF7"/>
    <w:rsid w:val="00313F20"/>
    <w:rsid w:val="003159DD"/>
    <w:rsid w:val="00321541"/>
    <w:rsid w:val="003224DE"/>
    <w:rsid w:val="00322C8D"/>
    <w:rsid w:val="003258DC"/>
    <w:rsid w:val="003278FB"/>
    <w:rsid w:val="003307C0"/>
    <w:rsid w:val="0033265F"/>
    <w:rsid w:val="0033519E"/>
    <w:rsid w:val="00342640"/>
    <w:rsid w:val="00344E56"/>
    <w:rsid w:val="00350813"/>
    <w:rsid w:val="00350A1B"/>
    <w:rsid w:val="00352CF6"/>
    <w:rsid w:val="003621BF"/>
    <w:rsid w:val="00370606"/>
    <w:rsid w:val="003718A7"/>
    <w:rsid w:val="00371D96"/>
    <w:rsid w:val="0037285E"/>
    <w:rsid w:val="00375246"/>
    <w:rsid w:val="003754F5"/>
    <w:rsid w:val="003765EA"/>
    <w:rsid w:val="0038044A"/>
    <w:rsid w:val="0038351E"/>
    <w:rsid w:val="00383AC3"/>
    <w:rsid w:val="003849DC"/>
    <w:rsid w:val="00387A86"/>
    <w:rsid w:val="003923B5"/>
    <w:rsid w:val="00393A20"/>
    <w:rsid w:val="00395DE7"/>
    <w:rsid w:val="003A1361"/>
    <w:rsid w:val="003A3D87"/>
    <w:rsid w:val="003A4F77"/>
    <w:rsid w:val="003A6D69"/>
    <w:rsid w:val="003B2C9E"/>
    <w:rsid w:val="003B497A"/>
    <w:rsid w:val="003B54E9"/>
    <w:rsid w:val="003B56A5"/>
    <w:rsid w:val="003B6B49"/>
    <w:rsid w:val="003C3E1D"/>
    <w:rsid w:val="003C71D3"/>
    <w:rsid w:val="003D3F4A"/>
    <w:rsid w:val="003D43E9"/>
    <w:rsid w:val="003D6BF2"/>
    <w:rsid w:val="003E6A03"/>
    <w:rsid w:val="003E7D61"/>
    <w:rsid w:val="003F4DEC"/>
    <w:rsid w:val="003F59CE"/>
    <w:rsid w:val="00405AAF"/>
    <w:rsid w:val="00407282"/>
    <w:rsid w:val="00412C75"/>
    <w:rsid w:val="00422CE5"/>
    <w:rsid w:val="00425D69"/>
    <w:rsid w:val="00431900"/>
    <w:rsid w:val="00432625"/>
    <w:rsid w:val="004339F8"/>
    <w:rsid w:val="00434E35"/>
    <w:rsid w:val="004373B9"/>
    <w:rsid w:val="00442C4E"/>
    <w:rsid w:val="004431B6"/>
    <w:rsid w:val="00446463"/>
    <w:rsid w:val="00451A39"/>
    <w:rsid w:val="00452480"/>
    <w:rsid w:val="004633E3"/>
    <w:rsid w:val="00472E02"/>
    <w:rsid w:val="0047367F"/>
    <w:rsid w:val="00474402"/>
    <w:rsid w:val="0047730E"/>
    <w:rsid w:val="00481257"/>
    <w:rsid w:val="00482E2F"/>
    <w:rsid w:val="00484220"/>
    <w:rsid w:val="0049206F"/>
    <w:rsid w:val="00492276"/>
    <w:rsid w:val="00494631"/>
    <w:rsid w:val="00495534"/>
    <w:rsid w:val="004965AD"/>
    <w:rsid w:val="0049683D"/>
    <w:rsid w:val="004A1AA5"/>
    <w:rsid w:val="004A48A5"/>
    <w:rsid w:val="004B4D07"/>
    <w:rsid w:val="004B77D4"/>
    <w:rsid w:val="004C2814"/>
    <w:rsid w:val="004C4163"/>
    <w:rsid w:val="004C6B06"/>
    <w:rsid w:val="004C7829"/>
    <w:rsid w:val="004E341E"/>
    <w:rsid w:val="004E588E"/>
    <w:rsid w:val="004F47BB"/>
    <w:rsid w:val="004F4EE7"/>
    <w:rsid w:val="004F527B"/>
    <w:rsid w:val="00504652"/>
    <w:rsid w:val="00505853"/>
    <w:rsid w:val="0050616B"/>
    <w:rsid w:val="00510C07"/>
    <w:rsid w:val="00513505"/>
    <w:rsid w:val="00517377"/>
    <w:rsid w:val="005248BA"/>
    <w:rsid w:val="00534F46"/>
    <w:rsid w:val="00534FE4"/>
    <w:rsid w:val="00544932"/>
    <w:rsid w:val="00545E29"/>
    <w:rsid w:val="00553527"/>
    <w:rsid w:val="0055787E"/>
    <w:rsid w:val="00560B09"/>
    <w:rsid w:val="00565D9D"/>
    <w:rsid w:val="0056693B"/>
    <w:rsid w:val="005711AF"/>
    <w:rsid w:val="00573C07"/>
    <w:rsid w:val="0057452F"/>
    <w:rsid w:val="00574551"/>
    <w:rsid w:val="00576683"/>
    <w:rsid w:val="00584F70"/>
    <w:rsid w:val="00590082"/>
    <w:rsid w:val="005923C6"/>
    <w:rsid w:val="00594924"/>
    <w:rsid w:val="00596C7A"/>
    <w:rsid w:val="005A3898"/>
    <w:rsid w:val="005B089C"/>
    <w:rsid w:val="005B3E22"/>
    <w:rsid w:val="005C34C1"/>
    <w:rsid w:val="005D2BBF"/>
    <w:rsid w:val="005D7B22"/>
    <w:rsid w:val="005D7E2B"/>
    <w:rsid w:val="005E4835"/>
    <w:rsid w:val="005E5F19"/>
    <w:rsid w:val="005E69F7"/>
    <w:rsid w:val="005F2217"/>
    <w:rsid w:val="005F4B92"/>
    <w:rsid w:val="0060601F"/>
    <w:rsid w:val="0060618F"/>
    <w:rsid w:val="00606C33"/>
    <w:rsid w:val="006072F7"/>
    <w:rsid w:val="00610759"/>
    <w:rsid w:val="00611967"/>
    <w:rsid w:val="00615F27"/>
    <w:rsid w:val="006174DB"/>
    <w:rsid w:val="00630523"/>
    <w:rsid w:val="00631A58"/>
    <w:rsid w:val="00635990"/>
    <w:rsid w:val="00636BEC"/>
    <w:rsid w:val="00642951"/>
    <w:rsid w:val="00666976"/>
    <w:rsid w:val="0067007B"/>
    <w:rsid w:val="00674AF3"/>
    <w:rsid w:val="0067548C"/>
    <w:rsid w:val="00684679"/>
    <w:rsid w:val="0069082C"/>
    <w:rsid w:val="00690CD7"/>
    <w:rsid w:val="00693BA8"/>
    <w:rsid w:val="00694065"/>
    <w:rsid w:val="006945D4"/>
    <w:rsid w:val="0069553A"/>
    <w:rsid w:val="006A4F5E"/>
    <w:rsid w:val="006A6E80"/>
    <w:rsid w:val="006A7CC9"/>
    <w:rsid w:val="006B0907"/>
    <w:rsid w:val="006B3AA3"/>
    <w:rsid w:val="006B4169"/>
    <w:rsid w:val="006B7CE0"/>
    <w:rsid w:val="006C0B1B"/>
    <w:rsid w:val="006C2566"/>
    <w:rsid w:val="006C27C5"/>
    <w:rsid w:val="006C2A50"/>
    <w:rsid w:val="006C6FFF"/>
    <w:rsid w:val="006C7585"/>
    <w:rsid w:val="006C7ACC"/>
    <w:rsid w:val="006D7A61"/>
    <w:rsid w:val="006E0258"/>
    <w:rsid w:val="006E214D"/>
    <w:rsid w:val="006E4C1B"/>
    <w:rsid w:val="006E6EE4"/>
    <w:rsid w:val="006F0F2E"/>
    <w:rsid w:val="006F1DF2"/>
    <w:rsid w:val="006F1ED5"/>
    <w:rsid w:val="006F22AF"/>
    <w:rsid w:val="006F260A"/>
    <w:rsid w:val="006F3122"/>
    <w:rsid w:val="00701536"/>
    <w:rsid w:val="00702C1C"/>
    <w:rsid w:val="0070363F"/>
    <w:rsid w:val="007058CB"/>
    <w:rsid w:val="007068A4"/>
    <w:rsid w:val="00711D66"/>
    <w:rsid w:val="00712FF1"/>
    <w:rsid w:val="007136A6"/>
    <w:rsid w:val="007160C9"/>
    <w:rsid w:val="00723704"/>
    <w:rsid w:val="0074656A"/>
    <w:rsid w:val="00746E29"/>
    <w:rsid w:val="007549D8"/>
    <w:rsid w:val="00756CC2"/>
    <w:rsid w:val="00760B2E"/>
    <w:rsid w:val="00762E5F"/>
    <w:rsid w:val="0076358F"/>
    <w:rsid w:val="007673D8"/>
    <w:rsid w:val="00771034"/>
    <w:rsid w:val="007728C7"/>
    <w:rsid w:val="00774240"/>
    <w:rsid w:val="0077459B"/>
    <w:rsid w:val="00775CB7"/>
    <w:rsid w:val="00776527"/>
    <w:rsid w:val="0078079F"/>
    <w:rsid w:val="00783617"/>
    <w:rsid w:val="007920D9"/>
    <w:rsid w:val="00795422"/>
    <w:rsid w:val="007956CC"/>
    <w:rsid w:val="007969C8"/>
    <w:rsid w:val="00796D5E"/>
    <w:rsid w:val="00797BD6"/>
    <w:rsid w:val="007A4E98"/>
    <w:rsid w:val="007A55B5"/>
    <w:rsid w:val="007A78BB"/>
    <w:rsid w:val="007A7BDB"/>
    <w:rsid w:val="007B3DED"/>
    <w:rsid w:val="007B3E57"/>
    <w:rsid w:val="007B7C4C"/>
    <w:rsid w:val="007C1308"/>
    <w:rsid w:val="007C3EBE"/>
    <w:rsid w:val="007D60C7"/>
    <w:rsid w:val="007E38B8"/>
    <w:rsid w:val="007E3F83"/>
    <w:rsid w:val="007F20F8"/>
    <w:rsid w:val="00803AF7"/>
    <w:rsid w:val="00807983"/>
    <w:rsid w:val="0081343B"/>
    <w:rsid w:val="00813C33"/>
    <w:rsid w:val="00814989"/>
    <w:rsid w:val="00821184"/>
    <w:rsid w:val="00824E83"/>
    <w:rsid w:val="00826DCF"/>
    <w:rsid w:val="00827E49"/>
    <w:rsid w:val="00831CFE"/>
    <w:rsid w:val="00846BB2"/>
    <w:rsid w:val="0085443D"/>
    <w:rsid w:val="00855ECB"/>
    <w:rsid w:val="008565F4"/>
    <w:rsid w:val="008601B5"/>
    <w:rsid w:val="00860D06"/>
    <w:rsid w:val="00864418"/>
    <w:rsid w:val="00870518"/>
    <w:rsid w:val="00870B80"/>
    <w:rsid w:val="008720F0"/>
    <w:rsid w:val="00873FED"/>
    <w:rsid w:val="0088165C"/>
    <w:rsid w:val="00882D3C"/>
    <w:rsid w:val="008872BC"/>
    <w:rsid w:val="008916C0"/>
    <w:rsid w:val="008A07EF"/>
    <w:rsid w:val="008A4A03"/>
    <w:rsid w:val="008A53BC"/>
    <w:rsid w:val="008B32D0"/>
    <w:rsid w:val="008B6E2C"/>
    <w:rsid w:val="008B7FAC"/>
    <w:rsid w:val="008C1D8A"/>
    <w:rsid w:val="008C3C51"/>
    <w:rsid w:val="008C522C"/>
    <w:rsid w:val="008D03E3"/>
    <w:rsid w:val="008D73D7"/>
    <w:rsid w:val="008E29B3"/>
    <w:rsid w:val="008E3483"/>
    <w:rsid w:val="008E619C"/>
    <w:rsid w:val="008E6E49"/>
    <w:rsid w:val="008E704B"/>
    <w:rsid w:val="008F0E39"/>
    <w:rsid w:val="008F162D"/>
    <w:rsid w:val="008F1EDF"/>
    <w:rsid w:val="008F2DEA"/>
    <w:rsid w:val="008F63E2"/>
    <w:rsid w:val="008F7494"/>
    <w:rsid w:val="00900725"/>
    <w:rsid w:val="00906FD8"/>
    <w:rsid w:val="00910441"/>
    <w:rsid w:val="0091072C"/>
    <w:rsid w:val="009138A4"/>
    <w:rsid w:val="0092014F"/>
    <w:rsid w:val="00922CEB"/>
    <w:rsid w:val="00927C19"/>
    <w:rsid w:val="00930689"/>
    <w:rsid w:val="009324F2"/>
    <w:rsid w:val="00937FA6"/>
    <w:rsid w:val="00940E19"/>
    <w:rsid w:val="00942FE5"/>
    <w:rsid w:val="00943763"/>
    <w:rsid w:val="00945C1B"/>
    <w:rsid w:val="00947FAB"/>
    <w:rsid w:val="00951036"/>
    <w:rsid w:val="0095280C"/>
    <w:rsid w:val="009528F3"/>
    <w:rsid w:val="0095623A"/>
    <w:rsid w:val="009563E8"/>
    <w:rsid w:val="009709DD"/>
    <w:rsid w:val="00976B73"/>
    <w:rsid w:val="009771B5"/>
    <w:rsid w:val="009814CA"/>
    <w:rsid w:val="009901CE"/>
    <w:rsid w:val="009913DA"/>
    <w:rsid w:val="00992460"/>
    <w:rsid w:val="00992940"/>
    <w:rsid w:val="00992960"/>
    <w:rsid w:val="00996CEA"/>
    <w:rsid w:val="009A1EEF"/>
    <w:rsid w:val="009A2B1A"/>
    <w:rsid w:val="009A684F"/>
    <w:rsid w:val="009A689A"/>
    <w:rsid w:val="009A792B"/>
    <w:rsid w:val="009B7B91"/>
    <w:rsid w:val="009C2C82"/>
    <w:rsid w:val="009C7970"/>
    <w:rsid w:val="009D26E2"/>
    <w:rsid w:val="009D3231"/>
    <w:rsid w:val="009D5B1A"/>
    <w:rsid w:val="009D67AB"/>
    <w:rsid w:val="009D7478"/>
    <w:rsid w:val="009E5D55"/>
    <w:rsid w:val="00A002C9"/>
    <w:rsid w:val="00A02C9B"/>
    <w:rsid w:val="00A02EC1"/>
    <w:rsid w:val="00A03059"/>
    <w:rsid w:val="00A05775"/>
    <w:rsid w:val="00A107C8"/>
    <w:rsid w:val="00A12CBC"/>
    <w:rsid w:val="00A237CD"/>
    <w:rsid w:val="00A25339"/>
    <w:rsid w:val="00A31BEA"/>
    <w:rsid w:val="00A37621"/>
    <w:rsid w:val="00A4080E"/>
    <w:rsid w:val="00A424F5"/>
    <w:rsid w:val="00A47A01"/>
    <w:rsid w:val="00A53BE0"/>
    <w:rsid w:val="00A54F93"/>
    <w:rsid w:val="00A619D1"/>
    <w:rsid w:val="00A638E6"/>
    <w:rsid w:val="00A65354"/>
    <w:rsid w:val="00A73848"/>
    <w:rsid w:val="00A801FC"/>
    <w:rsid w:val="00A87F8E"/>
    <w:rsid w:val="00A9381A"/>
    <w:rsid w:val="00A951B7"/>
    <w:rsid w:val="00AA7F07"/>
    <w:rsid w:val="00AC3105"/>
    <w:rsid w:val="00AD14E0"/>
    <w:rsid w:val="00AD7266"/>
    <w:rsid w:val="00AE6F4E"/>
    <w:rsid w:val="00AE71BF"/>
    <w:rsid w:val="00AF25C2"/>
    <w:rsid w:val="00AF4ECD"/>
    <w:rsid w:val="00B06DF9"/>
    <w:rsid w:val="00B11BFD"/>
    <w:rsid w:val="00B123B3"/>
    <w:rsid w:val="00B133F2"/>
    <w:rsid w:val="00B135CD"/>
    <w:rsid w:val="00B14762"/>
    <w:rsid w:val="00B24827"/>
    <w:rsid w:val="00B25BA8"/>
    <w:rsid w:val="00B308B6"/>
    <w:rsid w:val="00B5024E"/>
    <w:rsid w:val="00B52E2A"/>
    <w:rsid w:val="00B559A2"/>
    <w:rsid w:val="00B609E4"/>
    <w:rsid w:val="00B644E7"/>
    <w:rsid w:val="00B67574"/>
    <w:rsid w:val="00B73491"/>
    <w:rsid w:val="00B73CEC"/>
    <w:rsid w:val="00B81517"/>
    <w:rsid w:val="00B838EC"/>
    <w:rsid w:val="00B92E74"/>
    <w:rsid w:val="00B93ED3"/>
    <w:rsid w:val="00BA0D81"/>
    <w:rsid w:val="00BA67C8"/>
    <w:rsid w:val="00BB088E"/>
    <w:rsid w:val="00BB1DEF"/>
    <w:rsid w:val="00BB3848"/>
    <w:rsid w:val="00BD1841"/>
    <w:rsid w:val="00BD28AC"/>
    <w:rsid w:val="00BE025C"/>
    <w:rsid w:val="00BE0D32"/>
    <w:rsid w:val="00BE290C"/>
    <w:rsid w:val="00BE7E7D"/>
    <w:rsid w:val="00BF1511"/>
    <w:rsid w:val="00C01233"/>
    <w:rsid w:val="00C10B16"/>
    <w:rsid w:val="00C11E86"/>
    <w:rsid w:val="00C15403"/>
    <w:rsid w:val="00C17470"/>
    <w:rsid w:val="00C17C49"/>
    <w:rsid w:val="00C22F6A"/>
    <w:rsid w:val="00C34C58"/>
    <w:rsid w:val="00C36E1F"/>
    <w:rsid w:val="00C40A31"/>
    <w:rsid w:val="00C41872"/>
    <w:rsid w:val="00C435A4"/>
    <w:rsid w:val="00C43DC9"/>
    <w:rsid w:val="00C46CBC"/>
    <w:rsid w:val="00C6381A"/>
    <w:rsid w:val="00C7213D"/>
    <w:rsid w:val="00C81670"/>
    <w:rsid w:val="00C819E6"/>
    <w:rsid w:val="00C91A6F"/>
    <w:rsid w:val="00C921E5"/>
    <w:rsid w:val="00C92F96"/>
    <w:rsid w:val="00C95A7D"/>
    <w:rsid w:val="00CA2C58"/>
    <w:rsid w:val="00CA650A"/>
    <w:rsid w:val="00CB31D0"/>
    <w:rsid w:val="00CB5566"/>
    <w:rsid w:val="00CC0127"/>
    <w:rsid w:val="00CC0C21"/>
    <w:rsid w:val="00CC126A"/>
    <w:rsid w:val="00CC2344"/>
    <w:rsid w:val="00CC5A64"/>
    <w:rsid w:val="00CD5A19"/>
    <w:rsid w:val="00CD6626"/>
    <w:rsid w:val="00CE0A32"/>
    <w:rsid w:val="00CE3C57"/>
    <w:rsid w:val="00CE3DB4"/>
    <w:rsid w:val="00CE4830"/>
    <w:rsid w:val="00CE4C4B"/>
    <w:rsid w:val="00CE584D"/>
    <w:rsid w:val="00CF1A5B"/>
    <w:rsid w:val="00CF25E0"/>
    <w:rsid w:val="00D004F9"/>
    <w:rsid w:val="00D01383"/>
    <w:rsid w:val="00D024B8"/>
    <w:rsid w:val="00D1052F"/>
    <w:rsid w:val="00D13A8A"/>
    <w:rsid w:val="00D23213"/>
    <w:rsid w:val="00D33CD5"/>
    <w:rsid w:val="00D37049"/>
    <w:rsid w:val="00D379FB"/>
    <w:rsid w:val="00D409F9"/>
    <w:rsid w:val="00D40AE8"/>
    <w:rsid w:val="00D42B40"/>
    <w:rsid w:val="00D472A7"/>
    <w:rsid w:val="00D473A1"/>
    <w:rsid w:val="00D51B4F"/>
    <w:rsid w:val="00D54E1A"/>
    <w:rsid w:val="00D553AC"/>
    <w:rsid w:val="00D5582C"/>
    <w:rsid w:val="00D57F3B"/>
    <w:rsid w:val="00D6421B"/>
    <w:rsid w:val="00D710DE"/>
    <w:rsid w:val="00D74D83"/>
    <w:rsid w:val="00D82177"/>
    <w:rsid w:val="00D82DD4"/>
    <w:rsid w:val="00D851EA"/>
    <w:rsid w:val="00D85274"/>
    <w:rsid w:val="00D92B17"/>
    <w:rsid w:val="00D97A44"/>
    <w:rsid w:val="00DA2945"/>
    <w:rsid w:val="00DA4983"/>
    <w:rsid w:val="00DB6FF6"/>
    <w:rsid w:val="00DC0B4B"/>
    <w:rsid w:val="00DC3236"/>
    <w:rsid w:val="00DC3B52"/>
    <w:rsid w:val="00DC5F98"/>
    <w:rsid w:val="00DC6129"/>
    <w:rsid w:val="00DC69AD"/>
    <w:rsid w:val="00DC6B2F"/>
    <w:rsid w:val="00DC6F56"/>
    <w:rsid w:val="00DE14C5"/>
    <w:rsid w:val="00DE4364"/>
    <w:rsid w:val="00DE6123"/>
    <w:rsid w:val="00DE6351"/>
    <w:rsid w:val="00DF1BD5"/>
    <w:rsid w:val="00DF24AE"/>
    <w:rsid w:val="00DF2DEC"/>
    <w:rsid w:val="00E14A8E"/>
    <w:rsid w:val="00E21D35"/>
    <w:rsid w:val="00E2318E"/>
    <w:rsid w:val="00E25ACB"/>
    <w:rsid w:val="00E30FD4"/>
    <w:rsid w:val="00E35C13"/>
    <w:rsid w:val="00E35E98"/>
    <w:rsid w:val="00E4368E"/>
    <w:rsid w:val="00E514E9"/>
    <w:rsid w:val="00E5186F"/>
    <w:rsid w:val="00E557D3"/>
    <w:rsid w:val="00E60941"/>
    <w:rsid w:val="00E72F5B"/>
    <w:rsid w:val="00E74073"/>
    <w:rsid w:val="00E7773F"/>
    <w:rsid w:val="00E81C81"/>
    <w:rsid w:val="00E936CF"/>
    <w:rsid w:val="00E9398E"/>
    <w:rsid w:val="00E95632"/>
    <w:rsid w:val="00E97C63"/>
    <w:rsid w:val="00EA0EEA"/>
    <w:rsid w:val="00EA6FBC"/>
    <w:rsid w:val="00EB08AD"/>
    <w:rsid w:val="00EB3612"/>
    <w:rsid w:val="00EB3891"/>
    <w:rsid w:val="00EB6AB1"/>
    <w:rsid w:val="00EC036C"/>
    <w:rsid w:val="00EC5D9B"/>
    <w:rsid w:val="00ED0423"/>
    <w:rsid w:val="00ED1618"/>
    <w:rsid w:val="00ED190B"/>
    <w:rsid w:val="00ED2987"/>
    <w:rsid w:val="00ED363E"/>
    <w:rsid w:val="00ED36CE"/>
    <w:rsid w:val="00EE2A1F"/>
    <w:rsid w:val="00EE5AF1"/>
    <w:rsid w:val="00EF0EB2"/>
    <w:rsid w:val="00EF104C"/>
    <w:rsid w:val="00EF4F67"/>
    <w:rsid w:val="00F02331"/>
    <w:rsid w:val="00F0336A"/>
    <w:rsid w:val="00F04072"/>
    <w:rsid w:val="00F04B11"/>
    <w:rsid w:val="00F06A3D"/>
    <w:rsid w:val="00F11035"/>
    <w:rsid w:val="00F11FA6"/>
    <w:rsid w:val="00F1645A"/>
    <w:rsid w:val="00F22255"/>
    <w:rsid w:val="00F24BEB"/>
    <w:rsid w:val="00F2609F"/>
    <w:rsid w:val="00F423CA"/>
    <w:rsid w:val="00F44561"/>
    <w:rsid w:val="00F46D5B"/>
    <w:rsid w:val="00F477F1"/>
    <w:rsid w:val="00F51BF1"/>
    <w:rsid w:val="00F61284"/>
    <w:rsid w:val="00F648D5"/>
    <w:rsid w:val="00F65DC1"/>
    <w:rsid w:val="00F67084"/>
    <w:rsid w:val="00F86C8B"/>
    <w:rsid w:val="00F922A7"/>
    <w:rsid w:val="00FA148A"/>
    <w:rsid w:val="00FA49B0"/>
    <w:rsid w:val="00FA6058"/>
    <w:rsid w:val="00FB259B"/>
    <w:rsid w:val="00FB2614"/>
    <w:rsid w:val="00FC0669"/>
    <w:rsid w:val="00FD2DC9"/>
    <w:rsid w:val="00FD4891"/>
    <w:rsid w:val="00FD4CD3"/>
    <w:rsid w:val="00FD5444"/>
    <w:rsid w:val="00FD61EB"/>
    <w:rsid w:val="00FD7430"/>
    <w:rsid w:val="00FE1DE0"/>
    <w:rsid w:val="00FE2F76"/>
    <w:rsid w:val="00FE3C6E"/>
    <w:rsid w:val="00FE47AD"/>
    <w:rsid w:val="00FE7BA2"/>
    <w:rsid w:val="00FF0C8E"/>
    <w:rsid w:val="00FF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AB8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97A"/>
    <w:pPr>
      <w:spacing w:after="0" w:line="240" w:lineRule="auto"/>
    </w:pPr>
    <w:rPr>
      <w:rFonts w:ascii="Calibri" w:eastAsia="Calibri" w:hAnsi="Calibri" w:cs="Times New Roman"/>
      <w:lang w:val="sr-Latn-BA"/>
    </w:rPr>
  </w:style>
  <w:style w:type="paragraph" w:styleId="Heading1">
    <w:name w:val="heading 1"/>
    <w:basedOn w:val="Normal"/>
    <w:next w:val="Normal"/>
    <w:link w:val="Heading1Char"/>
    <w:uiPriority w:val="9"/>
    <w:qFormat/>
    <w:rsid w:val="003B497A"/>
    <w:pPr>
      <w:keepNext/>
      <w:spacing w:before="240" w:after="60" w:line="276" w:lineRule="auto"/>
      <w:jc w:val="both"/>
      <w:outlineLvl w:val="0"/>
    </w:pPr>
    <w:rPr>
      <w:rFonts w:eastAsia="Times New Roman"/>
      <w:b/>
      <w:bCs/>
      <w:kern w:val="32"/>
      <w:sz w:val="32"/>
      <w:szCs w:val="32"/>
      <w:lang w:val="en-US"/>
    </w:rPr>
  </w:style>
  <w:style w:type="paragraph" w:styleId="Heading2">
    <w:name w:val="heading 2"/>
    <w:basedOn w:val="Normal"/>
    <w:next w:val="Normal"/>
    <w:link w:val="Heading2Char"/>
    <w:autoRedefine/>
    <w:uiPriority w:val="9"/>
    <w:qFormat/>
    <w:rsid w:val="003B497A"/>
    <w:pPr>
      <w:keepNext/>
      <w:jc w:val="both"/>
      <w:outlineLvl w:val="1"/>
    </w:pPr>
    <w:rPr>
      <w:rFonts w:ascii="Myriad Pro" w:eastAsia="Times New Roman" w:hAnsi="Myriad Pro"/>
      <w:b/>
      <w:bCs/>
      <w:i/>
      <w:iCs/>
      <w:sz w:val="24"/>
      <w:szCs w:val="24"/>
      <w:lang w:val="bs-Latn-BA"/>
    </w:rPr>
  </w:style>
  <w:style w:type="paragraph" w:styleId="Heading3">
    <w:name w:val="heading 3"/>
    <w:basedOn w:val="Normal"/>
    <w:next w:val="Normal"/>
    <w:link w:val="Heading3Char"/>
    <w:qFormat/>
    <w:rsid w:val="003B497A"/>
    <w:pPr>
      <w:keepNext/>
      <w:spacing w:before="240" w:after="60" w:line="276" w:lineRule="auto"/>
      <w:jc w:val="both"/>
      <w:outlineLvl w:val="2"/>
    </w:pPr>
    <w:rPr>
      <w:rFonts w:eastAsia="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97A"/>
    <w:rPr>
      <w:rFonts w:ascii="Calibri" w:eastAsia="Times New Roman" w:hAnsi="Calibri" w:cs="Times New Roman"/>
      <w:b/>
      <w:bCs/>
      <w:kern w:val="32"/>
      <w:sz w:val="32"/>
      <w:szCs w:val="32"/>
    </w:rPr>
  </w:style>
  <w:style w:type="character" w:customStyle="1" w:styleId="Heading2Char">
    <w:name w:val="Heading 2 Char"/>
    <w:basedOn w:val="DefaultParagraphFont"/>
    <w:link w:val="Heading2"/>
    <w:uiPriority w:val="9"/>
    <w:rsid w:val="003B497A"/>
    <w:rPr>
      <w:rFonts w:ascii="Myriad Pro" w:eastAsia="Times New Roman" w:hAnsi="Myriad Pro" w:cs="Times New Roman"/>
      <w:b/>
      <w:bCs/>
      <w:i/>
      <w:iCs/>
      <w:sz w:val="24"/>
      <w:szCs w:val="24"/>
      <w:lang w:val="bs-Latn-BA"/>
    </w:rPr>
  </w:style>
  <w:style w:type="character" w:customStyle="1" w:styleId="Heading3Char">
    <w:name w:val="Heading 3 Char"/>
    <w:basedOn w:val="DefaultParagraphFont"/>
    <w:link w:val="Heading3"/>
    <w:rsid w:val="003B497A"/>
    <w:rPr>
      <w:rFonts w:ascii="Calibri" w:eastAsia="Times New Roman" w:hAnsi="Calibri" w:cs="Times New Roman"/>
      <w:b/>
      <w:bCs/>
      <w:sz w:val="24"/>
      <w:szCs w:val="26"/>
    </w:rPr>
  </w:style>
  <w:style w:type="paragraph" w:styleId="Header">
    <w:name w:val="header"/>
    <w:basedOn w:val="Normal"/>
    <w:link w:val="HeaderChar"/>
    <w:uiPriority w:val="99"/>
    <w:unhideWhenUsed/>
    <w:rsid w:val="003B497A"/>
    <w:pPr>
      <w:tabs>
        <w:tab w:val="center" w:pos="4680"/>
        <w:tab w:val="right" w:pos="9360"/>
      </w:tabs>
    </w:pPr>
  </w:style>
  <w:style w:type="character" w:customStyle="1" w:styleId="HeaderChar">
    <w:name w:val="Header Char"/>
    <w:basedOn w:val="DefaultParagraphFont"/>
    <w:link w:val="Header"/>
    <w:uiPriority w:val="99"/>
    <w:rsid w:val="003B497A"/>
    <w:rPr>
      <w:rFonts w:ascii="Calibri" w:eastAsia="Calibri" w:hAnsi="Calibri" w:cs="Times New Roman"/>
      <w:lang w:val="sr-Latn-BA"/>
    </w:rPr>
  </w:style>
  <w:style w:type="paragraph" w:styleId="Footer">
    <w:name w:val="footer"/>
    <w:basedOn w:val="Normal"/>
    <w:link w:val="FooterChar"/>
    <w:uiPriority w:val="99"/>
    <w:unhideWhenUsed/>
    <w:rsid w:val="003B497A"/>
    <w:pPr>
      <w:tabs>
        <w:tab w:val="center" w:pos="4680"/>
        <w:tab w:val="right" w:pos="9360"/>
      </w:tabs>
    </w:pPr>
  </w:style>
  <w:style w:type="character" w:customStyle="1" w:styleId="FooterChar">
    <w:name w:val="Footer Char"/>
    <w:basedOn w:val="DefaultParagraphFont"/>
    <w:link w:val="Footer"/>
    <w:uiPriority w:val="99"/>
    <w:rsid w:val="003B497A"/>
    <w:rPr>
      <w:rFonts w:ascii="Calibri" w:eastAsia="Calibri" w:hAnsi="Calibri" w:cs="Times New Roman"/>
      <w:lang w:val="sr-Latn-BA"/>
    </w:rPr>
  </w:style>
  <w:style w:type="character" w:styleId="Hyperlink">
    <w:name w:val="Hyperlink"/>
    <w:uiPriority w:val="99"/>
    <w:unhideWhenUsed/>
    <w:rsid w:val="003B497A"/>
    <w:rPr>
      <w:color w:val="0000FF"/>
      <w:u w:val="single"/>
    </w:rPr>
  </w:style>
  <w:style w:type="paragraph" w:customStyle="1" w:styleId="ColorfulList-Accent11">
    <w:name w:val="Colorful List - Accent 11"/>
    <w:basedOn w:val="Normal"/>
    <w:link w:val="ColorfulList-Accent1Char"/>
    <w:qFormat/>
    <w:rsid w:val="003B497A"/>
    <w:pPr>
      <w:ind w:left="720"/>
      <w:contextualSpacing/>
    </w:pPr>
  </w:style>
  <w:style w:type="character" w:customStyle="1" w:styleId="ColorfulList-Accent1Char">
    <w:name w:val="Colorful List - Accent 1 Char"/>
    <w:link w:val="ColorfulList-Accent11"/>
    <w:rsid w:val="003B497A"/>
    <w:rPr>
      <w:rFonts w:ascii="Calibri" w:eastAsia="Calibri" w:hAnsi="Calibri" w:cs="Times New Roman"/>
      <w:lang w:val="sr-Latn-BA"/>
    </w:rPr>
  </w:style>
  <w:style w:type="table" w:styleId="TableGrid">
    <w:name w:val="Table Grid"/>
    <w:basedOn w:val="TableNormal"/>
    <w:uiPriority w:val="59"/>
    <w:rsid w:val="003B497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B497A"/>
    <w:rPr>
      <w:rFonts w:ascii="Tahoma" w:hAnsi="Tahoma" w:cs="Tahoma"/>
      <w:sz w:val="16"/>
      <w:szCs w:val="16"/>
    </w:rPr>
  </w:style>
  <w:style w:type="character" w:customStyle="1" w:styleId="BalloonTextChar">
    <w:name w:val="Balloon Text Char"/>
    <w:basedOn w:val="DefaultParagraphFont"/>
    <w:link w:val="BalloonText"/>
    <w:uiPriority w:val="99"/>
    <w:semiHidden/>
    <w:rsid w:val="003B497A"/>
    <w:rPr>
      <w:rFonts w:ascii="Tahoma" w:eastAsia="Calibri" w:hAnsi="Tahoma" w:cs="Tahoma"/>
      <w:sz w:val="16"/>
      <w:szCs w:val="16"/>
      <w:lang w:val="sr-Latn-BA"/>
    </w:rPr>
  </w:style>
  <w:style w:type="character" w:styleId="CommentReference">
    <w:name w:val="annotation reference"/>
    <w:unhideWhenUsed/>
    <w:rsid w:val="003B497A"/>
    <w:rPr>
      <w:sz w:val="16"/>
      <w:szCs w:val="16"/>
    </w:rPr>
  </w:style>
  <w:style w:type="paragraph" w:styleId="CommentText">
    <w:name w:val="annotation text"/>
    <w:basedOn w:val="Normal"/>
    <w:link w:val="CommentTextChar"/>
    <w:uiPriority w:val="99"/>
    <w:unhideWhenUsed/>
    <w:rsid w:val="003B497A"/>
    <w:rPr>
      <w:sz w:val="20"/>
      <w:szCs w:val="20"/>
    </w:rPr>
  </w:style>
  <w:style w:type="character" w:customStyle="1" w:styleId="CommentTextChar">
    <w:name w:val="Comment Text Char"/>
    <w:basedOn w:val="DefaultParagraphFont"/>
    <w:link w:val="CommentText"/>
    <w:uiPriority w:val="99"/>
    <w:rsid w:val="003B497A"/>
    <w:rPr>
      <w:rFonts w:ascii="Calibri" w:eastAsia="Calibri" w:hAnsi="Calibri" w:cs="Times New Roman"/>
      <w:sz w:val="20"/>
      <w:szCs w:val="20"/>
      <w:lang w:val="sr-Latn-BA"/>
    </w:rPr>
  </w:style>
  <w:style w:type="paragraph" w:styleId="CommentSubject">
    <w:name w:val="annotation subject"/>
    <w:basedOn w:val="CommentText"/>
    <w:next w:val="CommentText"/>
    <w:link w:val="CommentSubjectChar"/>
    <w:uiPriority w:val="99"/>
    <w:semiHidden/>
    <w:unhideWhenUsed/>
    <w:rsid w:val="003B497A"/>
    <w:rPr>
      <w:b/>
      <w:bCs/>
    </w:rPr>
  </w:style>
  <w:style w:type="character" w:customStyle="1" w:styleId="CommentSubjectChar">
    <w:name w:val="Comment Subject Char"/>
    <w:basedOn w:val="CommentTextChar"/>
    <w:link w:val="CommentSubject"/>
    <w:uiPriority w:val="99"/>
    <w:semiHidden/>
    <w:rsid w:val="003B497A"/>
    <w:rPr>
      <w:rFonts w:ascii="Calibri" w:eastAsia="Calibri" w:hAnsi="Calibri" w:cs="Times New Roman"/>
      <w:b/>
      <w:bCs/>
      <w:sz w:val="20"/>
      <w:szCs w:val="20"/>
      <w:lang w:val="sr-Latn-BA"/>
    </w:rPr>
  </w:style>
  <w:style w:type="paragraph" w:styleId="FootnoteText">
    <w:name w:val="footnote text"/>
    <w:basedOn w:val="Normal"/>
    <w:link w:val="FootnoteTextChar"/>
    <w:uiPriority w:val="99"/>
    <w:unhideWhenUsed/>
    <w:rsid w:val="003B497A"/>
    <w:rPr>
      <w:sz w:val="20"/>
      <w:szCs w:val="20"/>
    </w:rPr>
  </w:style>
  <w:style w:type="character" w:customStyle="1" w:styleId="FootnoteTextChar">
    <w:name w:val="Footnote Text Char"/>
    <w:basedOn w:val="DefaultParagraphFont"/>
    <w:link w:val="FootnoteText"/>
    <w:uiPriority w:val="99"/>
    <w:rsid w:val="003B497A"/>
    <w:rPr>
      <w:rFonts w:ascii="Calibri" w:eastAsia="Calibri" w:hAnsi="Calibri" w:cs="Times New Roman"/>
      <w:sz w:val="20"/>
      <w:szCs w:val="20"/>
      <w:lang w:val="sr-Latn-BA"/>
    </w:rPr>
  </w:style>
  <w:style w:type="character" w:styleId="FootnoteReference">
    <w:name w:val="footnote reference"/>
    <w:aliases w:val="16 Point,Superscript 6 Point"/>
    <w:uiPriority w:val="99"/>
    <w:unhideWhenUsed/>
    <w:rsid w:val="003B497A"/>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3B497A"/>
    <w:pPr>
      <w:spacing w:before="120" w:line="276" w:lineRule="auto"/>
      <w:ind w:left="720"/>
      <w:contextualSpacing/>
      <w:jc w:val="both"/>
    </w:pPr>
    <w:rPr>
      <w:rFonts w:eastAsia="Times New Roman"/>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34"/>
    <w:qFormat/>
    <w:locked/>
    <w:rsid w:val="003B497A"/>
    <w:rPr>
      <w:rFonts w:ascii="Calibri" w:eastAsia="Times New Roman" w:hAnsi="Calibri" w:cs="Times New Roman"/>
    </w:rPr>
  </w:style>
  <w:style w:type="paragraph" w:styleId="NoSpacing">
    <w:name w:val="No Spacing"/>
    <w:link w:val="NoSpacingChar"/>
    <w:uiPriority w:val="1"/>
    <w:qFormat/>
    <w:rsid w:val="003B497A"/>
    <w:pPr>
      <w:spacing w:after="0" w:line="240" w:lineRule="auto"/>
    </w:pPr>
    <w:rPr>
      <w:rFonts w:ascii="Calibri" w:eastAsia="Times New Roman" w:hAnsi="Calibri" w:cs="Times New Roman"/>
      <w:lang w:val="hr-HR" w:eastAsia="hr-HR"/>
    </w:rPr>
  </w:style>
  <w:style w:type="character" w:customStyle="1" w:styleId="NoSpacingChar">
    <w:name w:val="No Spacing Char"/>
    <w:link w:val="NoSpacing"/>
    <w:uiPriority w:val="1"/>
    <w:rsid w:val="003B497A"/>
    <w:rPr>
      <w:rFonts w:ascii="Calibri" w:eastAsia="Times New Roman" w:hAnsi="Calibri" w:cs="Times New Roman"/>
      <w:lang w:val="hr-HR" w:eastAsia="hr-HR"/>
    </w:rPr>
  </w:style>
  <w:style w:type="paragraph" w:customStyle="1" w:styleId="Default">
    <w:name w:val="Default"/>
    <w:rsid w:val="003B497A"/>
    <w:pPr>
      <w:autoSpaceDE w:val="0"/>
      <w:autoSpaceDN w:val="0"/>
      <w:adjustRightInd w:val="0"/>
      <w:spacing w:after="0" w:line="240" w:lineRule="auto"/>
    </w:pPr>
    <w:rPr>
      <w:rFonts w:ascii="Calibri" w:eastAsia="Times New Roman" w:hAnsi="Calibri" w:cs="Calibri"/>
      <w:color w:val="000000"/>
      <w:sz w:val="24"/>
      <w:szCs w:val="24"/>
    </w:rPr>
  </w:style>
  <w:style w:type="paragraph" w:styleId="TOCHeading">
    <w:name w:val="TOC Heading"/>
    <w:basedOn w:val="Heading1"/>
    <w:next w:val="Normal"/>
    <w:uiPriority w:val="39"/>
    <w:qFormat/>
    <w:rsid w:val="003B497A"/>
    <w:pPr>
      <w:keepLines/>
      <w:spacing w:after="0" w:line="259" w:lineRule="auto"/>
      <w:jc w:val="left"/>
      <w:outlineLvl w:val="9"/>
    </w:pPr>
    <w:rPr>
      <w:rFonts w:ascii="Calibri Light" w:hAnsi="Calibri Light"/>
      <w:b w:val="0"/>
      <w:bCs w:val="0"/>
      <w:color w:val="2E74B5"/>
      <w:kern w:val="0"/>
    </w:rPr>
  </w:style>
  <w:style w:type="paragraph" w:styleId="TOC1">
    <w:name w:val="toc 1"/>
    <w:basedOn w:val="Normal"/>
    <w:next w:val="Normal"/>
    <w:autoRedefine/>
    <w:uiPriority w:val="39"/>
    <w:unhideWhenUsed/>
    <w:rsid w:val="003B497A"/>
  </w:style>
  <w:style w:type="paragraph" w:styleId="TOC2">
    <w:name w:val="toc 2"/>
    <w:basedOn w:val="Normal"/>
    <w:next w:val="Normal"/>
    <w:autoRedefine/>
    <w:uiPriority w:val="39"/>
    <w:unhideWhenUsed/>
    <w:rsid w:val="003B497A"/>
    <w:pPr>
      <w:ind w:left="220"/>
    </w:pPr>
  </w:style>
  <w:style w:type="paragraph" w:styleId="TOC3">
    <w:name w:val="toc 3"/>
    <w:basedOn w:val="Normal"/>
    <w:next w:val="Normal"/>
    <w:autoRedefine/>
    <w:uiPriority w:val="39"/>
    <w:unhideWhenUsed/>
    <w:rsid w:val="003B497A"/>
    <w:pPr>
      <w:ind w:left="440"/>
    </w:pPr>
  </w:style>
  <w:style w:type="paragraph" w:styleId="Caption">
    <w:name w:val="caption"/>
    <w:basedOn w:val="Normal"/>
    <w:next w:val="Normal"/>
    <w:uiPriority w:val="35"/>
    <w:qFormat/>
    <w:rsid w:val="003B497A"/>
    <w:pPr>
      <w:spacing w:after="200"/>
    </w:pPr>
    <w:rPr>
      <w:b/>
      <w:bCs/>
      <w:color w:val="4F81BD"/>
      <w:sz w:val="18"/>
      <w:szCs w:val="18"/>
      <w:lang w:val="bs-Latn-BA"/>
    </w:rPr>
  </w:style>
  <w:style w:type="character" w:customStyle="1" w:styleId="apple-converted-space">
    <w:name w:val="apple-converted-space"/>
    <w:basedOn w:val="DefaultParagraphFont"/>
    <w:rsid w:val="003B497A"/>
  </w:style>
  <w:style w:type="paragraph" w:styleId="NormalWeb">
    <w:name w:val="Normal (Web)"/>
    <w:basedOn w:val="Normal"/>
    <w:uiPriority w:val="99"/>
    <w:unhideWhenUsed/>
    <w:rsid w:val="003B497A"/>
    <w:pPr>
      <w:spacing w:before="100" w:beforeAutospacing="1" w:after="100" w:afterAutospacing="1"/>
    </w:pPr>
    <w:rPr>
      <w:rFonts w:ascii="Times New Roman" w:eastAsia="Times New Roman" w:hAnsi="Times New Roman"/>
      <w:sz w:val="24"/>
      <w:szCs w:val="24"/>
      <w:lang w:val="en-US"/>
    </w:rPr>
  </w:style>
  <w:style w:type="paragraph" w:customStyle="1" w:styleId="ecxmsolistparagraph">
    <w:name w:val="ecxmsolistparagraph"/>
    <w:basedOn w:val="Normal"/>
    <w:rsid w:val="003B497A"/>
    <w:pPr>
      <w:spacing w:before="100" w:beforeAutospacing="1" w:after="100" w:afterAutospacing="1"/>
    </w:pPr>
    <w:rPr>
      <w:rFonts w:ascii="Times New Roman" w:eastAsia="Times New Roman" w:hAnsi="Times New Roman"/>
      <w:sz w:val="24"/>
      <w:szCs w:val="24"/>
      <w:lang w:val="bs-Latn-BA" w:eastAsia="bs-Latn-BA" w:bidi="ta-IN"/>
    </w:rPr>
  </w:style>
  <w:style w:type="paragraph" w:customStyle="1" w:styleId="ListParagraph1">
    <w:name w:val="List Paragraph1"/>
    <w:basedOn w:val="Normal"/>
    <w:rsid w:val="003B497A"/>
    <w:pPr>
      <w:spacing w:before="120" w:after="200" w:line="276" w:lineRule="auto"/>
      <w:ind w:left="720"/>
      <w:jc w:val="both"/>
    </w:pPr>
    <w:rPr>
      <w:rFonts w:ascii="Times New Roman" w:eastAsia="Times New Roman" w:hAnsi="Times New Roman" w:cs="Calibri"/>
      <w:sz w:val="24"/>
      <w:szCs w:val="24"/>
      <w:lang w:val="hr-HR"/>
    </w:rPr>
  </w:style>
  <w:style w:type="paragraph" w:customStyle="1" w:styleId="Standard">
    <w:name w:val="Standard"/>
    <w:rsid w:val="003B497A"/>
    <w:pPr>
      <w:suppressAutoHyphens/>
      <w:autoSpaceDN w:val="0"/>
      <w:spacing w:after="0" w:line="240" w:lineRule="auto"/>
      <w:jc w:val="both"/>
      <w:textAlignment w:val="baseline"/>
    </w:pPr>
    <w:rPr>
      <w:rFonts w:ascii="Calibri" w:eastAsia="Calibri" w:hAnsi="Calibri" w:cs="Times New Roman"/>
      <w:kern w:val="3"/>
    </w:rPr>
  </w:style>
  <w:style w:type="table" w:styleId="GridTable5Dark-Accent1">
    <w:name w:val="Grid Table 5 Dark Accent 1"/>
    <w:basedOn w:val="TableNormal"/>
    <w:uiPriority w:val="50"/>
    <w:rsid w:val="003B497A"/>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5">
    <w:name w:val="Grid Table 5 Dark Accent 5"/>
    <w:basedOn w:val="TableNormal"/>
    <w:uiPriority w:val="50"/>
    <w:rsid w:val="003B497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BodyText">
    <w:name w:val="Body Text"/>
    <w:basedOn w:val="Normal"/>
    <w:link w:val="BodyTextChar"/>
    <w:rsid w:val="002252B1"/>
    <w:rPr>
      <w:rFonts w:ascii="Cir Times" w:eastAsia="Times New Roman" w:hAnsi="Cir Times"/>
      <w:sz w:val="24"/>
      <w:szCs w:val="20"/>
      <w:lang w:val="en-US" w:eastAsia="en-GB"/>
    </w:rPr>
  </w:style>
  <w:style w:type="character" w:customStyle="1" w:styleId="BodyTextChar">
    <w:name w:val="Body Text Char"/>
    <w:basedOn w:val="DefaultParagraphFont"/>
    <w:link w:val="BodyText"/>
    <w:rsid w:val="002252B1"/>
    <w:rPr>
      <w:rFonts w:ascii="Cir Times" w:eastAsia="Times New Roman" w:hAnsi="Cir Times" w:cs="Times New Roman"/>
      <w:sz w:val="24"/>
      <w:szCs w:val="20"/>
      <w:lang w:eastAsia="en-GB"/>
    </w:rPr>
  </w:style>
  <w:style w:type="paragraph" w:customStyle="1" w:styleId="StyleLeft0">
    <w:name w:val="Style Left: 0"/>
    <w:aliases w:val="5"/>
    <w:basedOn w:val="Normal"/>
    <w:rsid w:val="002252B1"/>
    <w:pPr>
      <w:ind w:left="720"/>
      <w:jc w:val="both"/>
    </w:pPr>
    <w:rPr>
      <w:rFonts w:ascii="Times New Roman" w:eastAsia="Times New Roman" w:hAnsi="Times New Roman"/>
      <w:sz w:val="24"/>
      <w:szCs w:val="20"/>
      <w:lang w:val="en-GB"/>
    </w:rPr>
  </w:style>
  <w:style w:type="paragraph" w:styleId="BodyText2">
    <w:name w:val="Body Text 2"/>
    <w:basedOn w:val="Normal"/>
    <w:link w:val="BodyText2Char"/>
    <w:rsid w:val="002252B1"/>
    <w:pPr>
      <w:spacing w:after="120" w:line="480" w:lineRule="auto"/>
    </w:pPr>
    <w:rPr>
      <w:rFonts w:ascii="Times New Roman" w:eastAsia="Times New Roman" w:hAnsi="Times New Roman"/>
      <w:sz w:val="24"/>
      <w:szCs w:val="24"/>
      <w:lang w:val="sr-Latn-CS" w:eastAsia="sr-Latn-CS"/>
    </w:rPr>
  </w:style>
  <w:style w:type="character" w:customStyle="1" w:styleId="BodyText2Char">
    <w:name w:val="Body Text 2 Char"/>
    <w:basedOn w:val="DefaultParagraphFont"/>
    <w:link w:val="BodyText2"/>
    <w:rsid w:val="002252B1"/>
    <w:rPr>
      <w:rFonts w:ascii="Times New Roman" w:eastAsia="Times New Roman" w:hAnsi="Times New Roman" w:cs="Times New Roman"/>
      <w:sz w:val="24"/>
      <w:szCs w:val="24"/>
      <w:lang w:val="sr-Latn-CS" w:eastAsia="sr-Latn-CS"/>
    </w:rPr>
  </w:style>
  <w:style w:type="character" w:styleId="Strong">
    <w:name w:val="Strong"/>
    <w:basedOn w:val="DefaultParagraphFont"/>
    <w:uiPriority w:val="22"/>
    <w:qFormat/>
    <w:rsid w:val="002252B1"/>
    <w:rPr>
      <w:b/>
      <w:bCs/>
    </w:rPr>
  </w:style>
  <w:style w:type="character" w:styleId="FollowedHyperlink">
    <w:name w:val="FollowedHyperlink"/>
    <w:basedOn w:val="DefaultParagraphFont"/>
    <w:uiPriority w:val="99"/>
    <w:semiHidden/>
    <w:unhideWhenUsed/>
    <w:rsid w:val="00DE4364"/>
    <w:rPr>
      <w:color w:val="800080"/>
      <w:u w:val="single"/>
    </w:rPr>
  </w:style>
  <w:style w:type="paragraph" w:customStyle="1" w:styleId="xl63">
    <w:name w:val="xl63"/>
    <w:basedOn w:val="Normal"/>
    <w:rsid w:val="00DE43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n-US"/>
    </w:rPr>
  </w:style>
  <w:style w:type="paragraph" w:customStyle="1" w:styleId="xl64">
    <w:name w:val="xl64"/>
    <w:basedOn w:val="Normal"/>
    <w:rsid w:val="00DE43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lang w:val="en-US"/>
    </w:rPr>
  </w:style>
  <w:style w:type="paragraph" w:customStyle="1" w:styleId="xl65">
    <w:name w:val="xl65"/>
    <w:basedOn w:val="Normal"/>
    <w:rsid w:val="00DE43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66">
    <w:name w:val="xl66"/>
    <w:basedOn w:val="Normal"/>
    <w:rsid w:val="00DE43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n-US"/>
    </w:rPr>
  </w:style>
  <w:style w:type="paragraph" w:customStyle="1" w:styleId="xl67">
    <w:name w:val="xl67"/>
    <w:basedOn w:val="Normal"/>
    <w:rsid w:val="00DE4364"/>
    <w:pPr>
      <w:spacing w:before="100" w:beforeAutospacing="1" w:after="100" w:afterAutospacing="1"/>
    </w:pPr>
    <w:rPr>
      <w:rFonts w:ascii="Arial" w:eastAsia="Times New Roman" w:hAnsi="Arial" w:cs="Arial"/>
      <w:b/>
      <w:bCs/>
      <w:sz w:val="24"/>
      <w:szCs w:val="24"/>
      <w:lang w:val="en-US"/>
    </w:rPr>
  </w:style>
  <w:style w:type="paragraph" w:customStyle="1" w:styleId="xl68">
    <w:name w:val="xl68"/>
    <w:basedOn w:val="Normal"/>
    <w:rsid w:val="00DE43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sz w:val="24"/>
      <w:szCs w:val="24"/>
      <w:lang w:val="en-US"/>
    </w:rPr>
  </w:style>
  <w:style w:type="paragraph" w:customStyle="1" w:styleId="xl69">
    <w:name w:val="xl69"/>
    <w:basedOn w:val="Normal"/>
    <w:rsid w:val="00DE43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24"/>
      <w:szCs w:val="24"/>
      <w:lang w:val="en-US"/>
    </w:rPr>
  </w:style>
  <w:style w:type="paragraph" w:customStyle="1" w:styleId="xl70">
    <w:name w:val="xl70"/>
    <w:basedOn w:val="Normal"/>
    <w:rsid w:val="00DE43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val="en-US"/>
    </w:rPr>
  </w:style>
  <w:style w:type="paragraph" w:customStyle="1" w:styleId="xl71">
    <w:name w:val="xl71"/>
    <w:basedOn w:val="Normal"/>
    <w:rsid w:val="00DE43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val="en-US"/>
    </w:rPr>
  </w:style>
  <w:style w:type="paragraph" w:customStyle="1" w:styleId="xl72">
    <w:name w:val="xl72"/>
    <w:basedOn w:val="Normal"/>
    <w:rsid w:val="00DE43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val="en-US"/>
    </w:rPr>
  </w:style>
  <w:style w:type="paragraph" w:customStyle="1" w:styleId="xl73">
    <w:name w:val="xl73"/>
    <w:basedOn w:val="Normal"/>
    <w:rsid w:val="00DE43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lang w:val="en-US"/>
    </w:rPr>
  </w:style>
  <w:style w:type="paragraph" w:customStyle="1" w:styleId="xl74">
    <w:name w:val="xl74"/>
    <w:basedOn w:val="Normal"/>
    <w:rsid w:val="00DE4364"/>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lang w:val="en-US"/>
    </w:rPr>
  </w:style>
  <w:style w:type="paragraph" w:customStyle="1" w:styleId="xl75">
    <w:name w:val="xl75"/>
    <w:basedOn w:val="Normal"/>
    <w:rsid w:val="00DE4364"/>
    <w:pPr>
      <w:pBdr>
        <w:left w:val="single" w:sz="4" w:space="0" w:color="auto"/>
        <w:bottom w:val="single" w:sz="4" w:space="0" w:color="auto"/>
      </w:pBdr>
      <w:spacing w:before="100" w:beforeAutospacing="1" w:after="100" w:afterAutospacing="1"/>
      <w:jc w:val="center"/>
    </w:pPr>
    <w:rPr>
      <w:rFonts w:ascii="Arial" w:eastAsia="Times New Roman" w:hAnsi="Arial" w:cs="Arial"/>
      <w:b/>
      <w:bCs/>
      <w:sz w:val="24"/>
      <w:szCs w:val="24"/>
      <w:lang w:val="en-US"/>
    </w:rPr>
  </w:style>
  <w:style w:type="paragraph" w:customStyle="1" w:styleId="xl76">
    <w:name w:val="xl76"/>
    <w:basedOn w:val="Normal"/>
    <w:rsid w:val="00DE4364"/>
    <w:pPr>
      <w:pBdr>
        <w:bottom w:val="single" w:sz="4" w:space="0" w:color="auto"/>
      </w:pBdr>
      <w:spacing w:before="100" w:beforeAutospacing="1" w:after="100" w:afterAutospacing="1"/>
      <w:jc w:val="center"/>
    </w:pPr>
    <w:rPr>
      <w:rFonts w:ascii="Arial" w:eastAsia="Times New Roman" w:hAnsi="Arial" w:cs="Arial"/>
      <w:b/>
      <w:bCs/>
      <w:sz w:val="24"/>
      <w:szCs w:val="24"/>
      <w:lang w:val="en-US"/>
    </w:rPr>
  </w:style>
  <w:style w:type="paragraph" w:customStyle="1" w:styleId="xl77">
    <w:name w:val="xl77"/>
    <w:basedOn w:val="Normal"/>
    <w:rsid w:val="00DE4364"/>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lang w:val="en-US"/>
    </w:rPr>
  </w:style>
  <w:style w:type="paragraph" w:customStyle="1" w:styleId="xl78">
    <w:name w:val="xl78"/>
    <w:basedOn w:val="Normal"/>
    <w:rsid w:val="00DE43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n-US"/>
    </w:rPr>
  </w:style>
  <w:style w:type="paragraph" w:customStyle="1" w:styleId="xl79">
    <w:name w:val="xl79"/>
    <w:basedOn w:val="Normal"/>
    <w:rsid w:val="00DE43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n-US"/>
    </w:rPr>
  </w:style>
  <w:style w:type="paragraph" w:customStyle="1" w:styleId="xl80">
    <w:name w:val="xl80"/>
    <w:basedOn w:val="Normal"/>
    <w:rsid w:val="00DE4364"/>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24"/>
      <w:szCs w:val="24"/>
      <w:lang w:val="en-US"/>
    </w:rPr>
  </w:style>
  <w:style w:type="paragraph" w:customStyle="1" w:styleId="xl81">
    <w:name w:val="xl81"/>
    <w:basedOn w:val="Normal"/>
    <w:rsid w:val="00DE4364"/>
    <w:pPr>
      <w:pBdr>
        <w:top w:val="single" w:sz="4" w:space="0" w:color="auto"/>
        <w:bottom w:val="single" w:sz="4" w:space="0" w:color="auto"/>
      </w:pBdr>
      <w:spacing w:before="100" w:beforeAutospacing="1" w:after="100" w:afterAutospacing="1"/>
      <w:jc w:val="center"/>
    </w:pPr>
    <w:rPr>
      <w:rFonts w:ascii="Arial" w:eastAsia="Times New Roman" w:hAnsi="Arial" w:cs="Arial"/>
      <w:sz w:val="24"/>
      <w:szCs w:val="24"/>
      <w:lang w:val="en-US"/>
    </w:rPr>
  </w:style>
  <w:style w:type="paragraph" w:customStyle="1" w:styleId="xl82">
    <w:name w:val="xl82"/>
    <w:basedOn w:val="Normal"/>
    <w:rsid w:val="00DE4364"/>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val="en-US"/>
    </w:rPr>
  </w:style>
  <w:style w:type="paragraph" w:customStyle="1" w:styleId="xl83">
    <w:name w:val="xl83"/>
    <w:basedOn w:val="Normal"/>
    <w:rsid w:val="00DE4364"/>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sz w:val="24"/>
      <w:szCs w:val="24"/>
      <w:lang w:val="en-US"/>
    </w:rPr>
  </w:style>
  <w:style w:type="paragraph" w:customStyle="1" w:styleId="xl84">
    <w:name w:val="xl84"/>
    <w:basedOn w:val="Normal"/>
    <w:rsid w:val="00DE4364"/>
    <w:pPr>
      <w:pBdr>
        <w:top w:val="single" w:sz="4" w:space="0" w:color="auto"/>
        <w:bottom w:val="single" w:sz="4" w:space="0" w:color="auto"/>
      </w:pBdr>
      <w:spacing w:before="100" w:beforeAutospacing="1" w:after="100" w:afterAutospacing="1"/>
      <w:jc w:val="center"/>
    </w:pPr>
    <w:rPr>
      <w:rFonts w:ascii="Arial" w:eastAsia="Times New Roman" w:hAnsi="Arial" w:cs="Arial"/>
      <w:b/>
      <w:bCs/>
      <w:sz w:val="24"/>
      <w:szCs w:val="24"/>
      <w:lang w:val="en-US"/>
    </w:rPr>
  </w:style>
  <w:style w:type="paragraph" w:customStyle="1" w:styleId="xl85">
    <w:name w:val="xl85"/>
    <w:basedOn w:val="Normal"/>
    <w:rsid w:val="00DE4364"/>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lang w:val="en-US"/>
    </w:rPr>
  </w:style>
  <w:style w:type="paragraph" w:customStyle="1" w:styleId="xl86">
    <w:name w:val="xl86"/>
    <w:basedOn w:val="Normal"/>
    <w:rsid w:val="00DE4364"/>
    <w:pPr>
      <w:pBdr>
        <w:left w:val="single" w:sz="4" w:space="0" w:color="auto"/>
        <w:right w:val="single" w:sz="4" w:space="0" w:color="auto"/>
      </w:pBdr>
      <w:spacing w:before="100" w:beforeAutospacing="1" w:after="100" w:afterAutospacing="1"/>
      <w:jc w:val="center"/>
    </w:pPr>
    <w:rPr>
      <w:rFonts w:ascii="Arial" w:eastAsia="Times New Roman" w:hAnsi="Arial" w:cs="Arial"/>
      <w:b/>
      <w:bCs/>
      <w:sz w:val="24"/>
      <w:szCs w:val="24"/>
      <w:lang w:val="en-US"/>
    </w:rPr>
  </w:style>
  <w:style w:type="paragraph" w:customStyle="1" w:styleId="xl87">
    <w:name w:val="xl87"/>
    <w:basedOn w:val="Normal"/>
    <w:rsid w:val="00DE4364"/>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val="en-US"/>
    </w:rPr>
  </w:style>
  <w:style w:type="paragraph" w:customStyle="1" w:styleId="xl88">
    <w:name w:val="xl88"/>
    <w:basedOn w:val="Normal"/>
    <w:rsid w:val="00DE4364"/>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val="en-US"/>
    </w:rPr>
  </w:style>
  <w:style w:type="paragraph" w:customStyle="1" w:styleId="xl89">
    <w:name w:val="xl89"/>
    <w:basedOn w:val="Normal"/>
    <w:rsid w:val="00DE4364"/>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val="en-US"/>
    </w:rPr>
  </w:style>
  <w:style w:type="paragraph" w:customStyle="1" w:styleId="xl90">
    <w:name w:val="xl90"/>
    <w:basedOn w:val="Normal"/>
    <w:rsid w:val="00DE4364"/>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n-US"/>
    </w:rPr>
  </w:style>
  <w:style w:type="character" w:styleId="EndnoteReference">
    <w:name w:val="endnote reference"/>
    <w:basedOn w:val="DefaultParagraphFont"/>
    <w:uiPriority w:val="99"/>
    <w:semiHidden/>
    <w:unhideWhenUsed/>
    <w:rsid w:val="00A02EC1"/>
    <w:rPr>
      <w:vertAlign w:val="superscript"/>
    </w:rPr>
  </w:style>
  <w:style w:type="table" w:styleId="GridTable4-Accent5">
    <w:name w:val="Grid Table 4 Accent 5"/>
    <w:basedOn w:val="TableNormal"/>
    <w:uiPriority w:val="49"/>
    <w:rsid w:val="00A801F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5">
    <w:name w:val="List Table 4 Accent 5"/>
    <w:basedOn w:val="TableNormal"/>
    <w:uiPriority w:val="49"/>
    <w:rsid w:val="0059492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560B0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Mention">
    <w:name w:val="Mention"/>
    <w:basedOn w:val="DefaultParagraphFont"/>
    <w:uiPriority w:val="99"/>
    <w:semiHidden/>
    <w:unhideWhenUsed/>
    <w:rsid w:val="00951036"/>
    <w:rPr>
      <w:color w:val="2B579A"/>
      <w:shd w:val="clear" w:color="auto" w:fill="E6E6E6"/>
    </w:rPr>
  </w:style>
  <w:style w:type="paragraph" w:styleId="Revision">
    <w:name w:val="Revision"/>
    <w:hidden/>
    <w:uiPriority w:val="99"/>
    <w:semiHidden/>
    <w:rsid w:val="008E29B3"/>
    <w:pPr>
      <w:spacing w:after="0" w:line="240" w:lineRule="auto"/>
    </w:pPr>
    <w:rPr>
      <w:rFonts w:ascii="Calibri" w:eastAsia="Calibri" w:hAnsi="Calibri" w:cs="Times New Roman"/>
      <w:lang w:val="sr-Latn-BA"/>
    </w:rPr>
  </w:style>
  <w:style w:type="character" w:customStyle="1" w:styleId="hps">
    <w:name w:val="hps"/>
    <w:basedOn w:val="DefaultParagraphFont"/>
    <w:rsid w:val="0044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6851">
      <w:bodyDiv w:val="1"/>
      <w:marLeft w:val="0"/>
      <w:marRight w:val="0"/>
      <w:marTop w:val="0"/>
      <w:marBottom w:val="0"/>
      <w:divBdr>
        <w:top w:val="none" w:sz="0" w:space="0" w:color="auto"/>
        <w:left w:val="none" w:sz="0" w:space="0" w:color="auto"/>
        <w:bottom w:val="none" w:sz="0" w:space="0" w:color="auto"/>
        <w:right w:val="none" w:sz="0" w:space="0" w:color="auto"/>
      </w:divBdr>
      <w:divsChild>
        <w:div w:id="1865436642">
          <w:marLeft w:val="547"/>
          <w:marRight w:val="0"/>
          <w:marTop w:val="77"/>
          <w:marBottom w:val="0"/>
          <w:divBdr>
            <w:top w:val="none" w:sz="0" w:space="0" w:color="auto"/>
            <w:left w:val="none" w:sz="0" w:space="0" w:color="auto"/>
            <w:bottom w:val="none" w:sz="0" w:space="0" w:color="auto"/>
            <w:right w:val="none" w:sz="0" w:space="0" w:color="auto"/>
          </w:divBdr>
        </w:div>
        <w:div w:id="2061318608">
          <w:marLeft w:val="547"/>
          <w:marRight w:val="0"/>
          <w:marTop w:val="77"/>
          <w:marBottom w:val="0"/>
          <w:divBdr>
            <w:top w:val="none" w:sz="0" w:space="0" w:color="auto"/>
            <w:left w:val="none" w:sz="0" w:space="0" w:color="auto"/>
            <w:bottom w:val="none" w:sz="0" w:space="0" w:color="auto"/>
            <w:right w:val="none" w:sz="0" w:space="0" w:color="auto"/>
          </w:divBdr>
        </w:div>
        <w:div w:id="158546049">
          <w:marLeft w:val="547"/>
          <w:marRight w:val="0"/>
          <w:marTop w:val="77"/>
          <w:marBottom w:val="0"/>
          <w:divBdr>
            <w:top w:val="none" w:sz="0" w:space="0" w:color="auto"/>
            <w:left w:val="none" w:sz="0" w:space="0" w:color="auto"/>
            <w:bottom w:val="none" w:sz="0" w:space="0" w:color="auto"/>
            <w:right w:val="none" w:sz="0" w:space="0" w:color="auto"/>
          </w:divBdr>
        </w:div>
        <w:div w:id="197863992">
          <w:marLeft w:val="547"/>
          <w:marRight w:val="0"/>
          <w:marTop w:val="77"/>
          <w:marBottom w:val="0"/>
          <w:divBdr>
            <w:top w:val="none" w:sz="0" w:space="0" w:color="auto"/>
            <w:left w:val="none" w:sz="0" w:space="0" w:color="auto"/>
            <w:bottom w:val="none" w:sz="0" w:space="0" w:color="auto"/>
            <w:right w:val="none" w:sz="0" w:space="0" w:color="auto"/>
          </w:divBdr>
        </w:div>
        <w:div w:id="1428114194">
          <w:marLeft w:val="547"/>
          <w:marRight w:val="0"/>
          <w:marTop w:val="77"/>
          <w:marBottom w:val="0"/>
          <w:divBdr>
            <w:top w:val="none" w:sz="0" w:space="0" w:color="auto"/>
            <w:left w:val="none" w:sz="0" w:space="0" w:color="auto"/>
            <w:bottom w:val="none" w:sz="0" w:space="0" w:color="auto"/>
            <w:right w:val="none" w:sz="0" w:space="0" w:color="auto"/>
          </w:divBdr>
        </w:div>
        <w:div w:id="1496265494">
          <w:marLeft w:val="547"/>
          <w:marRight w:val="0"/>
          <w:marTop w:val="77"/>
          <w:marBottom w:val="0"/>
          <w:divBdr>
            <w:top w:val="none" w:sz="0" w:space="0" w:color="auto"/>
            <w:left w:val="none" w:sz="0" w:space="0" w:color="auto"/>
            <w:bottom w:val="none" w:sz="0" w:space="0" w:color="auto"/>
            <w:right w:val="none" w:sz="0" w:space="0" w:color="auto"/>
          </w:divBdr>
        </w:div>
        <w:div w:id="1586568657">
          <w:marLeft w:val="547"/>
          <w:marRight w:val="0"/>
          <w:marTop w:val="77"/>
          <w:marBottom w:val="0"/>
          <w:divBdr>
            <w:top w:val="none" w:sz="0" w:space="0" w:color="auto"/>
            <w:left w:val="none" w:sz="0" w:space="0" w:color="auto"/>
            <w:bottom w:val="none" w:sz="0" w:space="0" w:color="auto"/>
            <w:right w:val="none" w:sz="0" w:space="0" w:color="auto"/>
          </w:divBdr>
        </w:div>
        <w:div w:id="12457756">
          <w:marLeft w:val="547"/>
          <w:marRight w:val="0"/>
          <w:marTop w:val="77"/>
          <w:marBottom w:val="0"/>
          <w:divBdr>
            <w:top w:val="none" w:sz="0" w:space="0" w:color="auto"/>
            <w:left w:val="none" w:sz="0" w:space="0" w:color="auto"/>
            <w:bottom w:val="none" w:sz="0" w:space="0" w:color="auto"/>
            <w:right w:val="none" w:sz="0" w:space="0" w:color="auto"/>
          </w:divBdr>
        </w:div>
        <w:div w:id="293142746">
          <w:marLeft w:val="547"/>
          <w:marRight w:val="0"/>
          <w:marTop w:val="77"/>
          <w:marBottom w:val="0"/>
          <w:divBdr>
            <w:top w:val="none" w:sz="0" w:space="0" w:color="auto"/>
            <w:left w:val="none" w:sz="0" w:space="0" w:color="auto"/>
            <w:bottom w:val="none" w:sz="0" w:space="0" w:color="auto"/>
            <w:right w:val="none" w:sz="0" w:space="0" w:color="auto"/>
          </w:divBdr>
        </w:div>
        <w:div w:id="91634312">
          <w:marLeft w:val="547"/>
          <w:marRight w:val="0"/>
          <w:marTop w:val="77"/>
          <w:marBottom w:val="0"/>
          <w:divBdr>
            <w:top w:val="none" w:sz="0" w:space="0" w:color="auto"/>
            <w:left w:val="none" w:sz="0" w:space="0" w:color="auto"/>
            <w:bottom w:val="none" w:sz="0" w:space="0" w:color="auto"/>
            <w:right w:val="none" w:sz="0" w:space="0" w:color="auto"/>
          </w:divBdr>
        </w:div>
        <w:div w:id="722293768">
          <w:marLeft w:val="547"/>
          <w:marRight w:val="0"/>
          <w:marTop w:val="77"/>
          <w:marBottom w:val="0"/>
          <w:divBdr>
            <w:top w:val="none" w:sz="0" w:space="0" w:color="auto"/>
            <w:left w:val="none" w:sz="0" w:space="0" w:color="auto"/>
            <w:bottom w:val="none" w:sz="0" w:space="0" w:color="auto"/>
            <w:right w:val="none" w:sz="0" w:space="0" w:color="auto"/>
          </w:divBdr>
        </w:div>
        <w:div w:id="547110721">
          <w:marLeft w:val="547"/>
          <w:marRight w:val="0"/>
          <w:marTop w:val="77"/>
          <w:marBottom w:val="0"/>
          <w:divBdr>
            <w:top w:val="none" w:sz="0" w:space="0" w:color="auto"/>
            <w:left w:val="none" w:sz="0" w:space="0" w:color="auto"/>
            <w:bottom w:val="none" w:sz="0" w:space="0" w:color="auto"/>
            <w:right w:val="none" w:sz="0" w:space="0" w:color="auto"/>
          </w:divBdr>
        </w:div>
        <w:div w:id="866988096">
          <w:marLeft w:val="547"/>
          <w:marRight w:val="0"/>
          <w:marTop w:val="77"/>
          <w:marBottom w:val="0"/>
          <w:divBdr>
            <w:top w:val="none" w:sz="0" w:space="0" w:color="auto"/>
            <w:left w:val="none" w:sz="0" w:space="0" w:color="auto"/>
            <w:bottom w:val="none" w:sz="0" w:space="0" w:color="auto"/>
            <w:right w:val="none" w:sz="0" w:space="0" w:color="auto"/>
          </w:divBdr>
        </w:div>
        <w:div w:id="692537523">
          <w:marLeft w:val="547"/>
          <w:marRight w:val="0"/>
          <w:marTop w:val="77"/>
          <w:marBottom w:val="0"/>
          <w:divBdr>
            <w:top w:val="none" w:sz="0" w:space="0" w:color="auto"/>
            <w:left w:val="none" w:sz="0" w:space="0" w:color="auto"/>
            <w:bottom w:val="none" w:sz="0" w:space="0" w:color="auto"/>
            <w:right w:val="none" w:sz="0" w:space="0" w:color="auto"/>
          </w:divBdr>
        </w:div>
        <w:div w:id="8459075">
          <w:marLeft w:val="547"/>
          <w:marRight w:val="0"/>
          <w:marTop w:val="77"/>
          <w:marBottom w:val="0"/>
          <w:divBdr>
            <w:top w:val="none" w:sz="0" w:space="0" w:color="auto"/>
            <w:left w:val="none" w:sz="0" w:space="0" w:color="auto"/>
            <w:bottom w:val="none" w:sz="0" w:space="0" w:color="auto"/>
            <w:right w:val="none" w:sz="0" w:space="0" w:color="auto"/>
          </w:divBdr>
        </w:div>
      </w:divsChild>
    </w:div>
    <w:div w:id="53465616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2">
          <w:marLeft w:val="547"/>
          <w:marRight w:val="0"/>
          <w:marTop w:val="0"/>
          <w:marBottom w:val="0"/>
          <w:divBdr>
            <w:top w:val="none" w:sz="0" w:space="0" w:color="auto"/>
            <w:left w:val="none" w:sz="0" w:space="0" w:color="auto"/>
            <w:bottom w:val="none" w:sz="0" w:space="0" w:color="auto"/>
            <w:right w:val="none" w:sz="0" w:space="0" w:color="auto"/>
          </w:divBdr>
        </w:div>
      </w:divsChild>
    </w:div>
    <w:div w:id="618226107">
      <w:bodyDiv w:val="1"/>
      <w:marLeft w:val="0"/>
      <w:marRight w:val="0"/>
      <w:marTop w:val="0"/>
      <w:marBottom w:val="0"/>
      <w:divBdr>
        <w:top w:val="none" w:sz="0" w:space="0" w:color="auto"/>
        <w:left w:val="none" w:sz="0" w:space="0" w:color="auto"/>
        <w:bottom w:val="none" w:sz="0" w:space="0" w:color="auto"/>
        <w:right w:val="none" w:sz="0" w:space="0" w:color="auto"/>
      </w:divBdr>
    </w:div>
    <w:div w:id="690033198">
      <w:bodyDiv w:val="1"/>
      <w:marLeft w:val="0"/>
      <w:marRight w:val="0"/>
      <w:marTop w:val="0"/>
      <w:marBottom w:val="0"/>
      <w:divBdr>
        <w:top w:val="none" w:sz="0" w:space="0" w:color="auto"/>
        <w:left w:val="none" w:sz="0" w:space="0" w:color="auto"/>
        <w:bottom w:val="none" w:sz="0" w:space="0" w:color="auto"/>
        <w:right w:val="none" w:sz="0" w:space="0" w:color="auto"/>
      </w:divBdr>
    </w:div>
    <w:div w:id="722171353">
      <w:bodyDiv w:val="1"/>
      <w:marLeft w:val="0"/>
      <w:marRight w:val="0"/>
      <w:marTop w:val="0"/>
      <w:marBottom w:val="0"/>
      <w:divBdr>
        <w:top w:val="none" w:sz="0" w:space="0" w:color="auto"/>
        <w:left w:val="none" w:sz="0" w:space="0" w:color="auto"/>
        <w:bottom w:val="none" w:sz="0" w:space="0" w:color="auto"/>
        <w:right w:val="none" w:sz="0" w:space="0" w:color="auto"/>
      </w:divBdr>
      <w:divsChild>
        <w:div w:id="514348881">
          <w:marLeft w:val="547"/>
          <w:marRight w:val="0"/>
          <w:marTop w:val="86"/>
          <w:marBottom w:val="0"/>
          <w:divBdr>
            <w:top w:val="none" w:sz="0" w:space="0" w:color="auto"/>
            <w:left w:val="none" w:sz="0" w:space="0" w:color="auto"/>
            <w:bottom w:val="none" w:sz="0" w:space="0" w:color="auto"/>
            <w:right w:val="none" w:sz="0" w:space="0" w:color="auto"/>
          </w:divBdr>
        </w:div>
        <w:div w:id="387388760">
          <w:marLeft w:val="547"/>
          <w:marRight w:val="0"/>
          <w:marTop w:val="86"/>
          <w:marBottom w:val="0"/>
          <w:divBdr>
            <w:top w:val="none" w:sz="0" w:space="0" w:color="auto"/>
            <w:left w:val="none" w:sz="0" w:space="0" w:color="auto"/>
            <w:bottom w:val="none" w:sz="0" w:space="0" w:color="auto"/>
            <w:right w:val="none" w:sz="0" w:space="0" w:color="auto"/>
          </w:divBdr>
        </w:div>
        <w:div w:id="412821758">
          <w:marLeft w:val="547"/>
          <w:marRight w:val="0"/>
          <w:marTop w:val="86"/>
          <w:marBottom w:val="0"/>
          <w:divBdr>
            <w:top w:val="none" w:sz="0" w:space="0" w:color="auto"/>
            <w:left w:val="none" w:sz="0" w:space="0" w:color="auto"/>
            <w:bottom w:val="none" w:sz="0" w:space="0" w:color="auto"/>
            <w:right w:val="none" w:sz="0" w:space="0" w:color="auto"/>
          </w:divBdr>
        </w:div>
        <w:div w:id="660039170">
          <w:marLeft w:val="547"/>
          <w:marRight w:val="0"/>
          <w:marTop w:val="86"/>
          <w:marBottom w:val="0"/>
          <w:divBdr>
            <w:top w:val="none" w:sz="0" w:space="0" w:color="auto"/>
            <w:left w:val="none" w:sz="0" w:space="0" w:color="auto"/>
            <w:bottom w:val="none" w:sz="0" w:space="0" w:color="auto"/>
            <w:right w:val="none" w:sz="0" w:space="0" w:color="auto"/>
          </w:divBdr>
        </w:div>
        <w:div w:id="1891451782">
          <w:marLeft w:val="547"/>
          <w:marRight w:val="0"/>
          <w:marTop w:val="86"/>
          <w:marBottom w:val="0"/>
          <w:divBdr>
            <w:top w:val="none" w:sz="0" w:space="0" w:color="auto"/>
            <w:left w:val="none" w:sz="0" w:space="0" w:color="auto"/>
            <w:bottom w:val="none" w:sz="0" w:space="0" w:color="auto"/>
            <w:right w:val="none" w:sz="0" w:space="0" w:color="auto"/>
          </w:divBdr>
        </w:div>
        <w:div w:id="508718996">
          <w:marLeft w:val="547"/>
          <w:marRight w:val="0"/>
          <w:marTop w:val="86"/>
          <w:marBottom w:val="0"/>
          <w:divBdr>
            <w:top w:val="none" w:sz="0" w:space="0" w:color="auto"/>
            <w:left w:val="none" w:sz="0" w:space="0" w:color="auto"/>
            <w:bottom w:val="none" w:sz="0" w:space="0" w:color="auto"/>
            <w:right w:val="none" w:sz="0" w:space="0" w:color="auto"/>
          </w:divBdr>
        </w:div>
        <w:div w:id="493113158">
          <w:marLeft w:val="547"/>
          <w:marRight w:val="0"/>
          <w:marTop w:val="86"/>
          <w:marBottom w:val="0"/>
          <w:divBdr>
            <w:top w:val="none" w:sz="0" w:space="0" w:color="auto"/>
            <w:left w:val="none" w:sz="0" w:space="0" w:color="auto"/>
            <w:bottom w:val="none" w:sz="0" w:space="0" w:color="auto"/>
            <w:right w:val="none" w:sz="0" w:space="0" w:color="auto"/>
          </w:divBdr>
        </w:div>
        <w:div w:id="853806290">
          <w:marLeft w:val="547"/>
          <w:marRight w:val="0"/>
          <w:marTop w:val="86"/>
          <w:marBottom w:val="0"/>
          <w:divBdr>
            <w:top w:val="none" w:sz="0" w:space="0" w:color="auto"/>
            <w:left w:val="none" w:sz="0" w:space="0" w:color="auto"/>
            <w:bottom w:val="none" w:sz="0" w:space="0" w:color="auto"/>
            <w:right w:val="none" w:sz="0" w:space="0" w:color="auto"/>
          </w:divBdr>
        </w:div>
        <w:div w:id="893200395">
          <w:marLeft w:val="547"/>
          <w:marRight w:val="0"/>
          <w:marTop w:val="86"/>
          <w:marBottom w:val="0"/>
          <w:divBdr>
            <w:top w:val="none" w:sz="0" w:space="0" w:color="auto"/>
            <w:left w:val="none" w:sz="0" w:space="0" w:color="auto"/>
            <w:bottom w:val="none" w:sz="0" w:space="0" w:color="auto"/>
            <w:right w:val="none" w:sz="0" w:space="0" w:color="auto"/>
          </w:divBdr>
        </w:div>
        <w:div w:id="1797142146">
          <w:marLeft w:val="547"/>
          <w:marRight w:val="0"/>
          <w:marTop w:val="86"/>
          <w:marBottom w:val="0"/>
          <w:divBdr>
            <w:top w:val="none" w:sz="0" w:space="0" w:color="auto"/>
            <w:left w:val="none" w:sz="0" w:space="0" w:color="auto"/>
            <w:bottom w:val="none" w:sz="0" w:space="0" w:color="auto"/>
            <w:right w:val="none" w:sz="0" w:space="0" w:color="auto"/>
          </w:divBdr>
        </w:div>
      </w:divsChild>
    </w:div>
    <w:div w:id="781262219">
      <w:bodyDiv w:val="1"/>
      <w:marLeft w:val="0"/>
      <w:marRight w:val="0"/>
      <w:marTop w:val="0"/>
      <w:marBottom w:val="0"/>
      <w:divBdr>
        <w:top w:val="none" w:sz="0" w:space="0" w:color="auto"/>
        <w:left w:val="none" w:sz="0" w:space="0" w:color="auto"/>
        <w:bottom w:val="none" w:sz="0" w:space="0" w:color="auto"/>
        <w:right w:val="none" w:sz="0" w:space="0" w:color="auto"/>
      </w:divBdr>
    </w:div>
    <w:div w:id="875698077">
      <w:bodyDiv w:val="1"/>
      <w:marLeft w:val="0"/>
      <w:marRight w:val="0"/>
      <w:marTop w:val="0"/>
      <w:marBottom w:val="0"/>
      <w:divBdr>
        <w:top w:val="none" w:sz="0" w:space="0" w:color="auto"/>
        <w:left w:val="none" w:sz="0" w:space="0" w:color="auto"/>
        <w:bottom w:val="none" w:sz="0" w:space="0" w:color="auto"/>
        <w:right w:val="none" w:sz="0" w:space="0" w:color="auto"/>
      </w:divBdr>
      <w:divsChild>
        <w:div w:id="735208633">
          <w:marLeft w:val="547"/>
          <w:marRight w:val="0"/>
          <w:marTop w:val="0"/>
          <w:marBottom w:val="0"/>
          <w:divBdr>
            <w:top w:val="none" w:sz="0" w:space="0" w:color="auto"/>
            <w:left w:val="none" w:sz="0" w:space="0" w:color="auto"/>
            <w:bottom w:val="none" w:sz="0" w:space="0" w:color="auto"/>
            <w:right w:val="none" w:sz="0" w:space="0" w:color="auto"/>
          </w:divBdr>
        </w:div>
      </w:divsChild>
    </w:div>
    <w:div w:id="1059476624">
      <w:bodyDiv w:val="1"/>
      <w:marLeft w:val="0"/>
      <w:marRight w:val="0"/>
      <w:marTop w:val="0"/>
      <w:marBottom w:val="0"/>
      <w:divBdr>
        <w:top w:val="none" w:sz="0" w:space="0" w:color="auto"/>
        <w:left w:val="none" w:sz="0" w:space="0" w:color="auto"/>
        <w:bottom w:val="none" w:sz="0" w:space="0" w:color="auto"/>
        <w:right w:val="none" w:sz="0" w:space="0" w:color="auto"/>
      </w:divBdr>
    </w:div>
    <w:div w:id="1149906081">
      <w:bodyDiv w:val="1"/>
      <w:marLeft w:val="0"/>
      <w:marRight w:val="0"/>
      <w:marTop w:val="0"/>
      <w:marBottom w:val="0"/>
      <w:divBdr>
        <w:top w:val="none" w:sz="0" w:space="0" w:color="auto"/>
        <w:left w:val="none" w:sz="0" w:space="0" w:color="auto"/>
        <w:bottom w:val="none" w:sz="0" w:space="0" w:color="auto"/>
        <w:right w:val="none" w:sz="0" w:space="0" w:color="auto"/>
      </w:divBdr>
    </w:div>
    <w:div w:id="1255555265">
      <w:bodyDiv w:val="1"/>
      <w:marLeft w:val="0"/>
      <w:marRight w:val="0"/>
      <w:marTop w:val="0"/>
      <w:marBottom w:val="0"/>
      <w:divBdr>
        <w:top w:val="none" w:sz="0" w:space="0" w:color="auto"/>
        <w:left w:val="none" w:sz="0" w:space="0" w:color="auto"/>
        <w:bottom w:val="none" w:sz="0" w:space="0" w:color="auto"/>
        <w:right w:val="none" w:sz="0" w:space="0" w:color="auto"/>
      </w:divBdr>
    </w:div>
    <w:div w:id="1290824416">
      <w:bodyDiv w:val="1"/>
      <w:marLeft w:val="0"/>
      <w:marRight w:val="0"/>
      <w:marTop w:val="0"/>
      <w:marBottom w:val="0"/>
      <w:divBdr>
        <w:top w:val="none" w:sz="0" w:space="0" w:color="auto"/>
        <w:left w:val="none" w:sz="0" w:space="0" w:color="auto"/>
        <w:bottom w:val="none" w:sz="0" w:space="0" w:color="auto"/>
        <w:right w:val="none" w:sz="0" w:space="0" w:color="auto"/>
      </w:divBdr>
    </w:div>
    <w:div w:id="1345935490">
      <w:bodyDiv w:val="1"/>
      <w:marLeft w:val="0"/>
      <w:marRight w:val="0"/>
      <w:marTop w:val="0"/>
      <w:marBottom w:val="0"/>
      <w:divBdr>
        <w:top w:val="none" w:sz="0" w:space="0" w:color="auto"/>
        <w:left w:val="none" w:sz="0" w:space="0" w:color="auto"/>
        <w:bottom w:val="none" w:sz="0" w:space="0" w:color="auto"/>
        <w:right w:val="none" w:sz="0" w:space="0" w:color="auto"/>
      </w:divBdr>
      <w:divsChild>
        <w:div w:id="1907301006">
          <w:marLeft w:val="547"/>
          <w:marRight w:val="0"/>
          <w:marTop w:val="86"/>
          <w:marBottom w:val="0"/>
          <w:divBdr>
            <w:top w:val="none" w:sz="0" w:space="0" w:color="auto"/>
            <w:left w:val="none" w:sz="0" w:space="0" w:color="auto"/>
            <w:bottom w:val="none" w:sz="0" w:space="0" w:color="auto"/>
            <w:right w:val="none" w:sz="0" w:space="0" w:color="auto"/>
          </w:divBdr>
        </w:div>
      </w:divsChild>
    </w:div>
    <w:div w:id="1381784960">
      <w:bodyDiv w:val="1"/>
      <w:marLeft w:val="0"/>
      <w:marRight w:val="0"/>
      <w:marTop w:val="0"/>
      <w:marBottom w:val="0"/>
      <w:divBdr>
        <w:top w:val="none" w:sz="0" w:space="0" w:color="auto"/>
        <w:left w:val="none" w:sz="0" w:space="0" w:color="auto"/>
        <w:bottom w:val="none" w:sz="0" w:space="0" w:color="auto"/>
        <w:right w:val="none" w:sz="0" w:space="0" w:color="auto"/>
      </w:divBdr>
    </w:div>
    <w:div w:id="1420521976">
      <w:bodyDiv w:val="1"/>
      <w:marLeft w:val="0"/>
      <w:marRight w:val="0"/>
      <w:marTop w:val="0"/>
      <w:marBottom w:val="0"/>
      <w:divBdr>
        <w:top w:val="none" w:sz="0" w:space="0" w:color="auto"/>
        <w:left w:val="none" w:sz="0" w:space="0" w:color="auto"/>
        <w:bottom w:val="none" w:sz="0" w:space="0" w:color="auto"/>
        <w:right w:val="none" w:sz="0" w:space="0" w:color="auto"/>
      </w:divBdr>
    </w:div>
    <w:div w:id="1427112530">
      <w:bodyDiv w:val="1"/>
      <w:marLeft w:val="0"/>
      <w:marRight w:val="0"/>
      <w:marTop w:val="0"/>
      <w:marBottom w:val="0"/>
      <w:divBdr>
        <w:top w:val="none" w:sz="0" w:space="0" w:color="auto"/>
        <w:left w:val="none" w:sz="0" w:space="0" w:color="auto"/>
        <w:bottom w:val="none" w:sz="0" w:space="0" w:color="auto"/>
        <w:right w:val="none" w:sz="0" w:space="0" w:color="auto"/>
      </w:divBdr>
    </w:div>
    <w:div w:id="1461337487">
      <w:bodyDiv w:val="1"/>
      <w:marLeft w:val="0"/>
      <w:marRight w:val="0"/>
      <w:marTop w:val="0"/>
      <w:marBottom w:val="0"/>
      <w:divBdr>
        <w:top w:val="none" w:sz="0" w:space="0" w:color="auto"/>
        <w:left w:val="none" w:sz="0" w:space="0" w:color="auto"/>
        <w:bottom w:val="none" w:sz="0" w:space="0" w:color="auto"/>
        <w:right w:val="none" w:sz="0" w:space="0" w:color="auto"/>
      </w:divBdr>
    </w:div>
    <w:div w:id="1476722778">
      <w:bodyDiv w:val="1"/>
      <w:marLeft w:val="0"/>
      <w:marRight w:val="0"/>
      <w:marTop w:val="0"/>
      <w:marBottom w:val="0"/>
      <w:divBdr>
        <w:top w:val="none" w:sz="0" w:space="0" w:color="auto"/>
        <w:left w:val="none" w:sz="0" w:space="0" w:color="auto"/>
        <w:bottom w:val="none" w:sz="0" w:space="0" w:color="auto"/>
        <w:right w:val="none" w:sz="0" w:space="0" w:color="auto"/>
      </w:divBdr>
      <w:divsChild>
        <w:div w:id="468476271">
          <w:marLeft w:val="547"/>
          <w:marRight w:val="0"/>
          <w:marTop w:val="86"/>
          <w:marBottom w:val="0"/>
          <w:divBdr>
            <w:top w:val="none" w:sz="0" w:space="0" w:color="auto"/>
            <w:left w:val="none" w:sz="0" w:space="0" w:color="auto"/>
            <w:bottom w:val="none" w:sz="0" w:space="0" w:color="auto"/>
            <w:right w:val="none" w:sz="0" w:space="0" w:color="auto"/>
          </w:divBdr>
        </w:div>
        <w:div w:id="1103956120">
          <w:marLeft w:val="547"/>
          <w:marRight w:val="0"/>
          <w:marTop w:val="86"/>
          <w:marBottom w:val="0"/>
          <w:divBdr>
            <w:top w:val="none" w:sz="0" w:space="0" w:color="auto"/>
            <w:left w:val="none" w:sz="0" w:space="0" w:color="auto"/>
            <w:bottom w:val="none" w:sz="0" w:space="0" w:color="auto"/>
            <w:right w:val="none" w:sz="0" w:space="0" w:color="auto"/>
          </w:divBdr>
        </w:div>
        <w:div w:id="121968828">
          <w:marLeft w:val="547"/>
          <w:marRight w:val="0"/>
          <w:marTop w:val="86"/>
          <w:marBottom w:val="0"/>
          <w:divBdr>
            <w:top w:val="none" w:sz="0" w:space="0" w:color="auto"/>
            <w:left w:val="none" w:sz="0" w:space="0" w:color="auto"/>
            <w:bottom w:val="none" w:sz="0" w:space="0" w:color="auto"/>
            <w:right w:val="none" w:sz="0" w:space="0" w:color="auto"/>
          </w:divBdr>
        </w:div>
        <w:div w:id="2017225580">
          <w:marLeft w:val="547"/>
          <w:marRight w:val="0"/>
          <w:marTop w:val="86"/>
          <w:marBottom w:val="0"/>
          <w:divBdr>
            <w:top w:val="none" w:sz="0" w:space="0" w:color="auto"/>
            <w:left w:val="none" w:sz="0" w:space="0" w:color="auto"/>
            <w:bottom w:val="none" w:sz="0" w:space="0" w:color="auto"/>
            <w:right w:val="none" w:sz="0" w:space="0" w:color="auto"/>
          </w:divBdr>
        </w:div>
        <w:div w:id="1265462103">
          <w:marLeft w:val="547"/>
          <w:marRight w:val="0"/>
          <w:marTop w:val="86"/>
          <w:marBottom w:val="0"/>
          <w:divBdr>
            <w:top w:val="none" w:sz="0" w:space="0" w:color="auto"/>
            <w:left w:val="none" w:sz="0" w:space="0" w:color="auto"/>
            <w:bottom w:val="none" w:sz="0" w:space="0" w:color="auto"/>
            <w:right w:val="none" w:sz="0" w:space="0" w:color="auto"/>
          </w:divBdr>
        </w:div>
        <w:div w:id="1566841088">
          <w:marLeft w:val="547"/>
          <w:marRight w:val="0"/>
          <w:marTop w:val="86"/>
          <w:marBottom w:val="0"/>
          <w:divBdr>
            <w:top w:val="none" w:sz="0" w:space="0" w:color="auto"/>
            <w:left w:val="none" w:sz="0" w:space="0" w:color="auto"/>
            <w:bottom w:val="none" w:sz="0" w:space="0" w:color="auto"/>
            <w:right w:val="none" w:sz="0" w:space="0" w:color="auto"/>
          </w:divBdr>
        </w:div>
        <w:div w:id="219556397">
          <w:marLeft w:val="547"/>
          <w:marRight w:val="0"/>
          <w:marTop w:val="86"/>
          <w:marBottom w:val="0"/>
          <w:divBdr>
            <w:top w:val="none" w:sz="0" w:space="0" w:color="auto"/>
            <w:left w:val="none" w:sz="0" w:space="0" w:color="auto"/>
            <w:bottom w:val="none" w:sz="0" w:space="0" w:color="auto"/>
            <w:right w:val="none" w:sz="0" w:space="0" w:color="auto"/>
          </w:divBdr>
        </w:div>
        <w:div w:id="1060058398">
          <w:marLeft w:val="547"/>
          <w:marRight w:val="0"/>
          <w:marTop w:val="86"/>
          <w:marBottom w:val="0"/>
          <w:divBdr>
            <w:top w:val="none" w:sz="0" w:space="0" w:color="auto"/>
            <w:left w:val="none" w:sz="0" w:space="0" w:color="auto"/>
            <w:bottom w:val="none" w:sz="0" w:space="0" w:color="auto"/>
            <w:right w:val="none" w:sz="0" w:space="0" w:color="auto"/>
          </w:divBdr>
        </w:div>
        <w:div w:id="133185921">
          <w:marLeft w:val="547"/>
          <w:marRight w:val="0"/>
          <w:marTop w:val="86"/>
          <w:marBottom w:val="0"/>
          <w:divBdr>
            <w:top w:val="none" w:sz="0" w:space="0" w:color="auto"/>
            <w:left w:val="none" w:sz="0" w:space="0" w:color="auto"/>
            <w:bottom w:val="none" w:sz="0" w:space="0" w:color="auto"/>
            <w:right w:val="none" w:sz="0" w:space="0" w:color="auto"/>
          </w:divBdr>
        </w:div>
        <w:div w:id="348606753">
          <w:marLeft w:val="547"/>
          <w:marRight w:val="0"/>
          <w:marTop w:val="86"/>
          <w:marBottom w:val="0"/>
          <w:divBdr>
            <w:top w:val="none" w:sz="0" w:space="0" w:color="auto"/>
            <w:left w:val="none" w:sz="0" w:space="0" w:color="auto"/>
            <w:bottom w:val="none" w:sz="0" w:space="0" w:color="auto"/>
            <w:right w:val="none" w:sz="0" w:space="0" w:color="auto"/>
          </w:divBdr>
        </w:div>
        <w:div w:id="385569691">
          <w:marLeft w:val="547"/>
          <w:marRight w:val="0"/>
          <w:marTop w:val="86"/>
          <w:marBottom w:val="0"/>
          <w:divBdr>
            <w:top w:val="none" w:sz="0" w:space="0" w:color="auto"/>
            <w:left w:val="none" w:sz="0" w:space="0" w:color="auto"/>
            <w:bottom w:val="none" w:sz="0" w:space="0" w:color="auto"/>
            <w:right w:val="none" w:sz="0" w:space="0" w:color="auto"/>
          </w:divBdr>
        </w:div>
        <w:div w:id="477185696">
          <w:marLeft w:val="547"/>
          <w:marRight w:val="0"/>
          <w:marTop w:val="86"/>
          <w:marBottom w:val="0"/>
          <w:divBdr>
            <w:top w:val="none" w:sz="0" w:space="0" w:color="auto"/>
            <w:left w:val="none" w:sz="0" w:space="0" w:color="auto"/>
            <w:bottom w:val="none" w:sz="0" w:space="0" w:color="auto"/>
            <w:right w:val="none" w:sz="0" w:space="0" w:color="auto"/>
          </w:divBdr>
        </w:div>
        <w:div w:id="516192517">
          <w:marLeft w:val="547"/>
          <w:marRight w:val="0"/>
          <w:marTop w:val="86"/>
          <w:marBottom w:val="0"/>
          <w:divBdr>
            <w:top w:val="none" w:sz="0" w:space="0" w:color="auto"/>
            <w:left w:val="none" w:sz="0" w:space="0" w:color="auto"/>
            <w:bottom w:val="none" w:sz="0" w:space="0" w:color="auto"/>
            <w:right w:val="none" w:sz="0" w:space="0" w:color="auto"/>
          </w:divBdr>
        </w:div>
      </w:divsChild>
    </w:div>
    <w:div w:id="1613898172">
      <w:bodyDiv w:val="1"/>
      <w:marLeft w:val="0"/>
      <w:marRight w:val="0"/>
      <w:marTop w:val="0"/>
      <w:marBottom w:val="0"/>
      <w:divBdr>
        <w:top w:val="none" w:sz="0" w:space="0" w:color="auto"/>
        <w:left w:val="none" w:sz="0" w:space="0" w:color="auto"/>
        <w:bottom w:val="none" w:sz="0" w:space="0" w:color="auto"/>
        <w:right w:val="none" w:sz="0" w:space="0" w:color="auto"/>
      </w:divBdr>
    </w:div>
    <w:div w:id="1651323518">
      <w:bodyDiv w:val="1"/>
      <w:marLeft w:val="0"/>
      <w:marRight w:val="0"/>
      <w:marTop w:val="0"/>
      <w:marBottom w:val="0"/>
      <w:divBdr>
        <w:top w:val="none" w:sz="0" w:space="0" w:color="auto"/>
        <w:left w:val="none" w:sz="0" w:space="0" w:color="auto"/>
        <w:bottom w:val="none" w:sz="0" w:space="0" w:color="auto"/>
        <w:right w:val="none" w:sz="0" w:space="0" w:color="auto"/>
      </w:divBdr>
      <w:divsChild>
        <w:div w:id="1442797505">
          <w:marLeft w:val="547"/>
          <w:marRight w:val="0"/>
          <w:marTop w:val="96"/>
          <w:marBottom w:val="0"/>
          <w:divBdr>
            <w:top w:val="none" w:sz="0" w:space="0" w:color="auto"/>
            <w:left w:val="none" w:sz="0" w:space="0" w:color="auto"/>
            <w:bottom w:val="none" w:sz="0" w:space="0" w:color="auto"/>
            <w:right w:val="none" w:sz="0" w:space="0" w:color="auto"/>
          </w:divBdr>
        </w:div>
        <w:div w:id="1198129356">
          <w:marLeft w:val="547"/>
          <w:marRight w:val="0"/>
          <w:marTop w:val="96"/>
          <w:marBottom w:val="0"/>
          <w:divBdr>
            <w:top w:val="none" w:sz="0" w:space="0" w:color="auto"/>
            <w:left w:val="none" w:sz="0" w:space="0" w:color="auto"/>
            <w:bottom w:val="none" w:sz="0" w:space="0" w:color="auto"/>
            <w:right w:val="none" w:sz="0" w:space="0" w:color="auto"/>
          </w:divBdr>
        </w:div>
        <w:div w:id="1194687723">
          <w:marLeft w:val="547"/>
          <w:marRight w:val="0"/>
          <w:marTop w:val="96"/>
          <w:marBottom w:val="0"/>
          <w:divBdr>
            <w:top w:val="none" w:sz="0" w:space="0" w:color="auto"/>
            <w:left w:val="none" w:sz="0" w:space="0" w:color="auto"/>
            <w:bottom w:val="none" w:sz="0" w:space="0" w:color="auto"/>
            <w:right w:val="none" w:sz="0" w:space="0" w:color="auto"/>
          </w:divBdr>
        </w:div>
      </w:divsChild>
    </w:div>
    <w:div w:id="1672289811">
      <w:bodyDiv w:val="1"/>
      <w:marLeft w:val="0"/>
      <w:marRight w:val="0"/>
      <w:marTop w:val="0"/>
      <w:marBottom w:val="0"/>
      <w:divBdr>
        <w:top w:val="none" w:sz="0" w:space="0" w:color="auto"/>
        <w:left w:val="none" w:sz="0" w:space="0" w:color="auto"/>
        <w:bottom w:val="none" w:sz="0" w:space="0" w:color="auto"/>
        <w:right w:val="none" w:sz="0" w:space="0" w:color="auto"/>
      </w:divBdr>
      <w:divsChild>
        <w:div w:id="561791570">
          <w:marLeft w:val="547"/>
          <w:marRight w:val="0"/>
          <w:marTop w:val="86"/>
          <w:marBottom w:val="0"/>
          <w:divBdr>
            <w:top w:val="none" w:sz="0" w:space="0" w:color="auto"/>
            <w:left w:val="none" w:sz="0" w:space="0" w:color="auto"/>
            <w:bottom w:val="none" w:sz="0" w:space="0" w:color="auto"/>
            <w:right w:val="none" w:sz="0" w:space="0" w:color="auto"/>
          </w:divBdr>
        </w:div>
      </w:divsChild>
    </w:div>
    <w:div w:id="1711222577">
      <w:bodyDiv w:val="1"/>
      <w:marLeft w:val="0"/>
      <w:marRight w:val="0"/>
      <w:marTop w:val="0"/>
      <w:marBottom w:val="0"/>
      <w:divBdr>
        <w:top w:val="none" w:sz="0" w:space="0" w:color="auto"/>
        <w:left w:val="none" w:sz="0" w:space="0" w:color="auto"/>
        <w:bottom w:val="none" w:sz="0" w:space="0" w:color="auto"/>
        <w:right w:val="none" w:sz="0" w:space="0" w:color="auto"/>
      </w:divBdr>
    </w:div>
    <w:div w:id="1779988350">
      <w:bodyDiv w:val="1"/>
      <w:marLeft w:val="0"/>
      <w:marRight w:val="0"/>
      <w:marTop w:val="0"/>
      <w:marBottom w:val="0"/>
      <w:divBdr>
        <w:top w:val="none" w:sz="0" w:space="0" w:color="auto"/>
        <w:left w:val="none" w:sz="0" w:space="0" w:color="auto"/>
        <w:bottom w:val="none" w:sz="0" w:space="0" w:color="auto"/>
        <w:right w:val="none" w:sz="0" w:space="0" w:color="auto"/>
      </w:divBdr>
    </w:div>
    <w:div w:id="1787386050">
      <w:bodyDiv w:val="1"/>
      <w:marLeft w:val="0"/>
      <w:marRight w:val="0"/>
      <w:marTop w:val="0"/>
      <w:marBottom w:val="0"/>
      <w:divBdr>
        <w:top w:val="none" w:sz="0" w:space="0" w:color="auto"/>
        <w:left w:val="none" w:sz="0" w:space="0" w:color="auto"/>
        <w:bottom w:val="none" w:sz="0" w:space="0" w:color="auto"/>
        <w:right w:val="none" w:sz="0" w:space="0" w:color="auto"/>
      </w:divBdr>
      <w:divsChild>
        <w:div w:id="1229271003">
          <w:marLeft w:val="547"/>
          <w:marRight w:val="0"/>
          <w:marTop w:val="86"/>
          <w:marBottom w:val="0"/>
          <w:divBdr>
            <w:top w:val="none" w:sz="0" w:space="0" w:color="auto"/>
            <w:left w:val="none" w:sz="0" w:space="0" w:color="auto"/>
            <w:bottom w:val="none" w:sz="0" w:space="0" w:color="auto"/>
            <w:right w:val="none" w:sz="0" w:space="0" w:color="auto"/>
          </w:divBdr>
        </w:div>
      </w:divsChild>
    </w:div>
    <w:div w:id="1806661519">
      <w:bodyDiv w:val="1"/>
      <w:marLeft w:val="0"/>
      <w:marRight w:val="0"/>
      <w:marTop w:val="0"/>
      <w:marBottom w:val="0"/>
      <w:divBdr>
        <w:top w:val="none" w:sz="0" w:space="0" w:color="auto"/>
        <w:left w:val="none" w:sz="0" w:space="0" w:color="auto"/>
        <w:bottom w:val="none" w:sz="0" w:space="0" w:color="auto"/>
        <w:right w:val="none" w:sz="0" w:space="0" w:color="auto"/>
      </w:divBdr>
      <w:divsChild>
        <w:div w:id="2018606825">
          <w:marLeft w:val="547"/>
          <w:marRight w:val="0"/>
          <w:marTop w:val="0"/>
          <w:marBottom w:val="0"/>
          <w:divBdr>
            <w:top w:val="none" w:sz="0" w:space="0" w:color="auto"/>
            <w:left w:val="none" w:sz="0" w:space="0" w:color="auto"/>
            <w:bottom w:val="none" w:sz="0" w:space="0" w:color="auto"/>
            <w:right w:val="none" w:sz="0" w:space="0" w:color="auto"/>
          </w:divBdr>
        </w:div>
      </w:divsChild>
    </w:div>
    <w:div w:id="1865556812">
      <w:bodyDiv w:val="1"/>
      <w:marLeft w:val="0"/>
      <w:marRight w:val="0"/>
      <w:marTop w:val="0"/>
      <w:marBottom w:val="0"/>
      <w:divBdr>
        <w:top w:val="none" w:sz="0" w:space="0" w:color="auto"/>
        <w:left w:val="none" w:sz="0" w:space="0" w:color="auto"/>
        <w:bottom w:val="none" w:sz="0" w:space="0" w:color="auto"/>
        <w:right w:val="none" w:sz="0" w:space="0" w:color="auto"/>
      </w:divBdr>
      <w:divsChild>
        <w:div w:id="1340158684">
          <w:marLeft w:val="547"/>
          <w:marRight w:val="0"/>
          <w:marTop w:val="96"/>
          <w:marBottom w:val="0"/>
          <w:divBdr>
            <w:top w:val="none" w:sz="0" w:space="0" w:color="auto"/>
            <w:left w:val="none" w:sz="0" w:space="0" w:color="auto"/>
            <w:bottom w:val="none" w:sz="0" w:space="0" w:color="auto"/>
            <w:right w:val="none" w:sz="0" w:space="0" w:color="auto"/>
          </w:divBdr>
        </w:div>
        <w:div w:id="993802574">
          <w:marLeft w:val="547"/>
          <w:marRight w:val="0"/>
          <w:marTop w:val="96"/>
          <w:marBottom w:val="0"/>
          <w:divBdr>
            <w:top w:val="none" w:sz="0" w:space="0" w:color="auto"/>
            <w:left w:val="none" w:sz="0" w:space="0" w:color="auto"/>
            <w:bottom w:val="none" w:sz="0" w:space="0" w:color="auto"/>
            <w:right w:val="none" w:sz="0" w:space="0" w:color="auto"/>
          </w:divBdr>
        </w:div>
        <w:div w:id="2084640299">
          <w:marLeft w:val="547"/>
          <w:marRight w:val="0"/>
          <w:marTop w:val="96"/>
          <w:marBottom w:val="0"/>
          <w:divBdr>
            <w:top w:val="none" w:sz="0" w:space="0" w:color="auto"/>
            <w:left w:val="none" w:sz="0" w:space="0" w:color="auto"/>
            <w:bottom w:val="none" w:sz="0" w:space="0" w:color="auto"/>
            <w:right w:val="none" w:sz="0" w:space="0" w:color="auto"/>
          </w:divBdr>
        </w:div>
      </w:divsChild>
    </w:div>
    <w:div w:id="1960407743">
      <w:bodyDiv w:val="1"/>
      <w:marLeft w:val="0"/>
      <w:marRight w:val="0"/>
      <w:marTop w:val="0"/>
      <w:marBottom w:val="0"/>
      <w:divBdr>
        <w:top w:val="none" w:sz="0" w:space="0" w:color="auto"/>
        <w:left w:val="none" w:sz="0" w:space="0" w:color="auto"/>
        <w:bottom w:val="none" w:sz="0" w:space="0" w:color="auto"/>
        <w:right w:val="none" w:sz="0" w:space="0" w:color="auto"/>
      </w:divBdr>
      <w:divsChild>
        <w:div w:id="872307591">
          <w:marLeft w:val="547"/>
          <w:marRight w:val="0"/>
          <w:marTop w:val="96"/>
          <w:marBottom w:val="0"/>
          <w:divBdr>
            <w:top w:val="none" w:sz="0" w:space="0" w:color="auto"/>
            <w:left w:val="none" w:sz="0" w:space="0" w:color="auto"/>
            <w:bottom w:val="none" w:sz="0" w:space="0" w:color="auto"/>
            <w:right w:val="none" w:sz="0" w:space="0" w:color="auto"/>
          </w:divBdr>
        </w:div>
        <w:div w:id="2012221472">
          <w:marLeft w:val="547"/>
          <w:marRight w:val="0"/>
          <w:marTop w:val="96"/>
          <w:marBottom w:val="0"/>
          <w:divBdr>
            <w:top w:val="none" w:sz="0" w:space="0" w:color="auto"/>
            <w:left w:val="none" w:sz="0" w:space="0" w:color="auto"/>
            <w:bottom w:val="none" w:sz="0" w:space="0" w:color="auto"/>
            <w:right w:val="none" w:sz="0" w:space="0" w:color="auto"/>
          </w:divBdr>
        </w:div>
        <w:div w:id="2035423966">
          <w:marLeft w:val="547"/>
          <w:marRight w:val="0"/>
          <w:marTop w:val="96"/>
          <w:marBottom w:val="0"/>
          <w:divBdr>
            <w:top w:val="none" w:sz="0" w:space="0" w:color="auto"/>
            <w:left w:val="none" w:sz="0" w:space="0" w:color="auto"/>
            <w:bottom w:val="none" w:sz="0" w:space="0" w:color="auto"/>
            <w:right w:val="none" w:sz="0" w:space="0" w:color="auto"/>
          </w:divBdr>
        </w:div>
        <w:div w:id="132065428">
          <w:marLeft w:val="547"/>
          <w:marRight w:val="0"/>
          <w:marTop w:val="96"/>
          <w:marBottom w:val="0"/>
          <w:divBdr>
            <w:top w:val="none" w:sz="0" w:space="0" w:color="auto"/>
            <w:left w:val="none" w:sz="0" w:space="0" w:color="auto"/>
            <w:bottom w:val="none" w:sz="0" w:space="0" w:color="auto"/>
            <w:right w:val="none" w:sz="0" w:space="0" w:color="auto"/>
          </w:divBdr>
        </w:div>
        <w:div w:id="1225212841">
          <w:marLeft w:val="547"/>
          <w:marRight w:val="0"/>
          <w:marTop w:val="96"/>
          <w:marBottom w:val="0"/>
          <w:divBdr>
            <w:top w:val="none" w:sz="0" w:space="0" w:color="auto"/>
            <w:left w:val="none" w:sz="0" w:space="0" w:color="auto"/>
            <w:bottom w:val="none" w:sz="0" w:space="0" w:color="auto"/>
            <w:right w:val="none" w:sz="0" w:space="0" w:color="auto"/>
          </w:divBdr>
        </w:div>
        <w:div w:id="2087068586">
          <w:marLeft w:val="547"/>
          <w:marRight w:val="0"/>
          <w:marTop w:val="96"/>
          <w:marBottom w:val="0"/>
          <w:divBdr>
            <w:top w:val="none" w:sz="0" w:space="0" w:color="auto"/>
            <w:left w:val="none" w:sz="0" w:space="0" w:color="auto"/>
            <w:bottom w:val="none" w:sz="0" w:space="0" w:color="auto"/>
            <w:right w:val="none" w:sz="0" w:space="0" w:color="auto"/>
          </w:divBdr>
        </w:div>
        <w:div w:id="91706903">
          <w:marLeft w:val="547"/>
          <w:marRight w:val="0"/>
          <w:marTop w:val="96"/>
          <w:marBottom w:val="0"/>
          <w:divBdr>
            <w:top w:val="none" w:sz="0" w:space="0" w:color="auto"/>
            <w:left w:val="none" w:sz="0" w:space="0" w:color="auto"/>
            <w:bottom w:val="none" w:sz="0" w:space="0" w:color="auto"/>
            <w:right w:val="none" w:sz="0" w:space="0" w:color="auto"/>
          </w:divBdr>
        </w:div>
        <w:div w:id="2021272900">
          <w:marLeft w:val="547"/>
          <w:marRight w:val="0"/>
          <w:marTop w:val="96"/>
          <w:marBottom w:val="0"/>
          <w:divBdr>
            <w:top w:val="none" w:sz="0" w:space="0" w:color="auto"/>
            <w:left w:val="none" w:sz="0" w:space="0" w:color="auto"/>
            <w:bottom w:val="none" w:sz="0" w:space="0" w:color="auto"/>
            <w:right w:val="none" w:sz="0" w:space="0" w:color="auto"/>
          </w:divBdr>
        </w:div>
        <w:div w:id="560293211">
          <w:marLeft w:val="547"/>
          <w:marRight w:val="0"/>
          <w:marTop w:val="96"/>
          <w:marBottom w:val="0"/>
          <w:divBdr>
            <w:top w:val="none" w:sz="0" w:space="0" w:color="auto"/>
            <w:left w:val="none" w:sz="0" w:space="0" w:color="auto"/>
            <w:bottom w:val="none" w:sz="0" w:space="0" w:color="auto"/>
            <w:right w:val="none" w:sz="0" w:space="0" w:color="auto"/>
          </w:divBdr>
        </w:div>
      </w:divsChild>
    </w:div>
    <w:div w:id="2001881058">
      <w:bodyDiv w:val="1"/>
      <w:marLeft w:val="0"/>
      <w:marRight w:val="0"/>
      <w:marTop w:val="0"/>
      <w:marBottom w:val="0"/>
      <w:divBdr>
        <w:top w:val="none" w:sz="0" w:space="0" w:color="auto"/>
        <w:left w:val="none" w:sz="0" w:space="0" w:color="auto"/>
        <w:bottom w:val="none" w:sz="0" w:space="0" w:color="auto"/>
        <w:right w:val="none" w:sz="0" w:space="0" w:color="auto"/>
      </w:divBdr>
    </w:div>
    <w:div w:id="2043163635">
      <w:bodyDiv w:val="1"/>
      <w:marLeft w:val="0"/>
      <w:marRight w:val="0"/>
      <w:marTop w:val="0"/>
      <w:marBottom w:val="0"/>
      <w:divBdr>
        <w:top w:val="none" w:sz="0" w:space="0" w:color="auto"/>
        <w:left w:val="none" w:sz="0" w:space="0" w:color="auto"/>
        <w:bottom w:val="none" w:sz="0" w:space="0" w:color="auto"/>
        <w:right w:val="none" w:sz="0" w:space="0" w:color="auto"/>
      </w:divBdr>
    </w:div>
    <w:div w:id="2046099914">
      <w:bodyDiv w:val="1"/>
      <w:marLeft w:val="0"/>
      <w:marRight w:val="0"/>
      <w:marTop w:val="0"/>
      <w:marBottom w:val="0"/>
      <w:divBdr>
        <w:top w:val="none" w:sz="0" w:space="0" w:color="auto"/>
        <w:left w:val="none" w:sz="0" w:space="0" w:color="auto"/>
        <w:bottom w:val="none" w:sz="0" w:space="0" w:color="auto"/>
        <w:right w:val="none" w:sz="0" w:space="0" w:color="auto"/>
      </w:divBdr>
      <w:divsChild>
        <w:div w:id="820582471">
          <w:marLeft w:val="547"/>
          <w:marRight w:val="0"/>
          <w:marTop w:val="0"/>
          <w:marBottom w:val="0"/>
          <w:divBdr>
            <w:top w:val="none" w:sz="0" w:space="0" w:color="auto"/>
            <w:left w:val="none" w:sz="0" w:space="0" w:color="auto"/>
            <w:bottom w:val="none" w:sz="0" w:space="0" w:color="auto"/>
            <w:right w:val="none" w:sz="0" w:space="0" w:color="auto"/>
          </w:divBdr>
        </w:div>
      </w:divsChild>
    </w:div>
    <w:div w:id="2085760844">
      <w:bodyDiv w:val="1"/>
      <w:marLeft w:val="0"/>
      <w:marRight w:val="0"/>
      <w:marTop w:val="0"/>
      <w:marBottom w:val="0"/>
      <w:divBdr>
        <w:top w:val="none" w:sz="0" w:space="0" w:color="auto"/>
        <w:left w:val="none" w:sz="0" w:space="0" w:color="auto"/>
        <w:bottom w:val="none" w:sz="0" w:space="0" w:color="auto"/>
        <w:right w:val="none" w:sz="0" w:space="0" w:color="auto"/>
      </w:divBdr>
      <w:divsChild>
        <w:div w:id="492987996">
          <w:marLeft w:val="547"/>
          <w:marRight w:val="0"/>
          <w:marTop w:val="86"/>
          <w:marBottom w:val="0"/>
          <w:divBdr>
            <w:top w:val="none" w:sz="0" w:space="0" w:color="auto"/>
            <w:left w:val="none" w:sz="0" w:space="0" w:color="auto"/>
            <w:bottom w:val="none" w:sz="0" w:space="0" w:color="auto"/>
            <w:right w:val="none" w:sz="0" w:space="0" w:color="auto"/>
          </w:divBdr>
        </w:div>
      </w:divsChild>
    </w:div>
    <w:div w:id="21087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diagramData" Target="diagrams/data1.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microsoft.com/office/2007/relationships/diagramDrawing" Target="diagrams/drawing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My%20documents\E\Eda\Eda\EDA\Mid-term%20revision%20Prnjavor%20and%20Srbac\Prnjavor%20and%20Srbac\PS%20Work\Prnjavor\Graphs%20Prnjavor.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My%20documents\E\Eda\Eda\EDA\Mid-term%20revision%20Prnjavor%20and%20Srbac\Prnjavor%20and%20Srbac\PS%20Work\Prnjavor\Graphs%20Prnjavor.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E:\My%20documents\E\Eda\Eda\EDA\Mid-term%20revision%20Prnjavor%20and%20Srbac\Prnjavor%20and%20Srbac\PS%20Work\Prnjavor\Graphs%20Prnjavor.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E:\My%20documents\E\Eda\Eda\EDA\Mid-term%20revision%20Prnjavor%20and%20Srbac\Prnjavor%20and%20Srbac\PS%20Work\Prnjavor\Obrada%20Prnjavor.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E:\My%20documents\E\Eda\Eda\EDA\Mid-term%20revision%20Prnjavor%20and%20Srbac\Prnjavor%20and%20Srbac\PS%20Work\Prnjavor\Graphs%20Prnjavor.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E:\My%20documents\E\Eda\Eda\EDA\Mid-term%20revision%20Prnjavor%20and%20Srbac\Prnjavor%20and%20Srbac\PS%20Work\Prnjavor\Obrada%20Prnjavor.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1" Type="http://schemas.openxmlformats.org/officeDocument/2006/relationships/oleObject" Target="file:///E:\My%20documents\E\Eda\Eda\EDA\Mid-term%20revision%20Prnjavor%20and%20Srbac\Prnjavor%20and%20Srbac\PS%20Work\Prnjavor\Graphs%20Prnjavor.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E:\My%20documents\E\Eda\Eda\EDA\Mid-term%20revision%20Prnjavor%20and%20Srbac\Prnjavor%20and%20Srbac\PS%20Work\Prnjavor\Graphs%20Prnjavor.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E:\My%20documents\E\Eda\Eda\EDA\Mid-term%20revision%20Prnjavor%20and%20Srbac\Prnjavor%20and%20Srbac\PS%20Work\Prnjavor\Graphs%20Prnjavor.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E:\My%20documents\E\Eda\Eda\EDA\Mid-term%20revision%20Prnjavor%20and%20Srbac\Prnjavor%20and%20Srbac\PS%20Work\Prnjavor\Graphs%20Prnjavor.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E:\My%20documents\E\Eda\Eda\EDA\Mid-term%20revision%20Prnjavor%20and%20Srbac\Prnjavor%20and%20Srbac\PS%20Work\Prnjavor\Graphs%20Prnjavor.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E:\My%20documents\E\Eda\Eda\EDA\Mid-term%20revision%20Prnjavor%20and%20Srbac\Prnjavor%20and%20Srbac\PS%20Work\Prnjavor\Graphs%20Prnjavor.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E:\My%20documents\E\Eda\Eda\EDA\Mid-term%20revision%20Prnjavor%20and%20Srbac\Prnjavor%20and%20Srbac\PS%20Work\Prnjavor\Graphs%20Prnjavor.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E:\My%20documents\E\Eda\Eda\EDA\Mid-term%20revision%20Prnjavor%20and%20Srbac\Prnjavor%20and%20Srbac\PS%20Work\Prnjavor\Graphs%20Prnjavor.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Broj </a:t>
            </a:r>
            <a:r>
              <a:rPr lang="sr-Latn-BA" sz="1200"/>
              <a:t>preduzeća</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PrivSub!$A$2</c:f>
              <c:strCache>
                <c:ptCount val="1"/>
                <c:pt idx="0">
                  <c:v>Broj privrednih subjekata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PrivSub!$B$1:$F$1</c:f>
              <c:numCache>
                <c:formatCode>General</c:formatCode>
                <c:ptCount val="5"/>
                <c:pt idx="0">
                  <c:v>2012</c:v>
                </c:pt>
                <c:pt idx="1">
                  <c:v>2013</c:v>
                </c:pt>
                <c:pt idx="2">
                  <c:v>2014</c:v>
                </c:pt>
                <c:pt idx="3">
                  <c:v>2015</c:v>
                </c:pt>
                <c:pt idx="4">
                  <c:v>2016</c:v>
                </c:pt>
              </c:numCache>
            </c:numRef>
          </c:cat>
          <c:val>
            <c:numRef>
              <c:f>PrivSub!$B$2:$F$2</c:f>
              <c:numCache>
                <c:formatCode>General</c:formatCode>
                <c:ptCount val="5"/>
                <c:pt idx="0">
                  <c:v>227</c:v>
                </c:pt>
                <c:pt idx="1">
                  <c:v>223</c:v>
                </c:pt>
                <c:pt idx="2">
                  <c:v>222</c:v>
                </c:pt>
                <c:pt idx="3">
                  <c:v>239</c:v>
                </c:pt>
                <c:pt idx="4">
                  <c:v>238</c:v>
                </c:pt>
              </c:numCache>
            </c:numRef>
          </c:val>
          <c:extLst>
            <c:ext xmlns:c16="http://schemas.microsoft.com/office/drawing/2014/chart" uri="{C3380CC4-5D6E-409C-BE32-E72D297353CC}">
              <c16:uniqueId val="{00000000-D683-4FC8-B26E-C20B41F798DE}"/>
            </c:ext>
          </c:extLst>
        </c:ser>
        <c:dLbls>
          <c:showLegendKey val="0"/>
          <c:showVal val="0"/>
          <c:showCatName val="0"/>
          <c:showSerName val="0"/>
          <c:showPercent val="0"/>
          <c:showBubbleSize val="0"/>
        </c:dLbls>
        <c:gapWidth val="219"/>
        <c:overlap val="-27"/>
        <c:axId val="498792400"/>
        <c:axId val="498793488"/>
      </c:barChart>
      <c:catAx>
        <c:axId val="49879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793488"/>
        <c:crosses val="autoZero"/>
        <c:auto val="1"/>
        <c:lblAlgn val="ctr"/>
        <c:lblOffset val="100"/>
        <c:noMultiLvlLbl val="0"/>
      </c:catAx>
      <c:valAx>
        <c:axId val="49879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792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BA" sz="1200"/>
              <a:t>Broj zaposlenih u preduzećima u prerađivačkoj industriji, 2012-2016</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PreIndGraph!$A$60</c:f>
              <c:strCache>
                <c:ptCount val="1"/>
                <c:pt idx="0">
                  <c:v>Hrana i piće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PreIndGraph!$B$24:$F$24</c:f>
              <c:numCache>
                <c:formatCode>General</c:formatCode>
                <c:ptCount val="5"/>
                <c:pt idx="0">
                  <c:v>2012</c:v>
                </c:pt>
                <c:pt idx="1">
                  <c:v>2013</c:v>
                </c:pt>
                <c:pt idx="2">
                  <c:v>2014</c:v>
                </c:pt>
                <c:pt idx="3">
                  <c:v>2015</c:v>
                </c:pt>
                <c:pt idx="4">
                  <c:v>2016</c:v>
                </c:pt>
              </c:numCache>
            </c:numRef>
          </c:cat>
          <c:val>
            <c:numRef>
              <c:f>PreIndGraph!$B$60:$F$60</c:f>
              <c:numCache>
                <c:formatCode>General</c:formatCode>
                <c:ptCount val="5"/>
                <c:pt idx="0">
                  <c:v>281</c:v>
                </c:pt>
                <c:pt idx="1">
                  <c:v>291</c:v>
                </c:pt>
                <c:pt idx="2">
                  <c:v>309</c:v>
                </c:pt>
                <c:pt idx="3">
                  <c:v>362</c:v>
                </c:pt>
                <c:pt idx="4">
                  <c:v>314</c:v>
                </c:pt>
              </c:numCache>
            </c:numRef>
          </c:val>
          <c:extLst>
            <c:ext xmlns:c16="http://schemas.microsoft.com/office/drawing/2014/chart" uri="{C3380CC4-5D6E-409C-BE32-E72D297353CC}">
              <c16:uniqueId val="{00000000-89AD-4FF1-A1A9-5A548B26D795}"/>
            </c:ext>
          </c:extLst>
        </c:ser>
        <c:ser>
          <c:idx val="1"/>
          <c:order val="1"/>
          <c:tx>
            <c:strRef>
              <c:f>PreIndGraph!$A$61</c:f>
              <c:strCache>
                <c:ptCount val="1"/>
                <c:pt idx="0">
                  <c:v>Koža i obuća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PreIndGraph!$B$24:$F$24</c:f>
              <c:numCache>
                <c:formatCode>General</c:formatCode>
                <c:ptCount val="5"/>
                <c:pt idx="0">
                  <c:v>2012</c:v>
                </c:pt>
                <c:pt idx="1">
                  <c:v>2013</c:v>
                </c:pt>
                <c:pt idx="2">
                  <c:v>2014</c:v>
                </c:pt>
                <c:pt idx="3">
                  <c:v>2015</c:v>
                </c:pt>
                <c:pt idx="4">
                  <c:v>2016</c:v>
                </c:pt>
              </c:numCache>
            </c:numRef>
          </c:cat>
          <c:val>
            <c:numRef>
              <c:f>PreIndGraph!$B$61:$F$61</c:f>
              <c:numCache>
                <c:formatCode>General</c:formatCode>
                <c:ptCount val="5"/>
                <c:pt idx="0">
                  <c:v>280</c:v>
                </c:pt>
                <c:pt idx="1">
                  <c:v>290</c:v>
                </c:pt>
                <c:pt idx="2">
                  <c:v>247</c:v>
                </c:pt>
                <c:pt idx="3">
                  <c:v>266</c:v>
                </c:pt>
                <c:pt idx="4">
                  <c:v>268</c:v>
                </c:pt>
              </c:numCache>
            </c:numRef>
          </c:val>
          <c:extLst>
            <c:ext xmlns:c16="http://schemas.microsoft.com/office/drawing/2014/chart" uri="{C3380CC4-5D6E-409C-BE32-E72D297353CC}">
              <c16:uniqueId val="{00000001-89AD-4FF1-A1A9-5A548B26D795}"/>
            </c:ext>
          </c:extLst>
        </c:ser>
        <c:ser>
          <c:idx val="2"/>
          <c:order val="2"/>
          <c:tx>
            <c:strRef>
              <c:f>PreIndGraph!$A$62</c:f>
              <c:strCache>
                <c:ptCount val="1"/>
                <c:pt idx="0">
                  <c:v>Metalska industrija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PreIndGraph!$B$24:$F$24</c:f>
              <c:numCache>
                <c:formatCode>General</c:formatCode>
                <c:ptCount val="5"/>
                <c:pt idx="0">
                  <c:v>2012</c:v>
                </c:pt>
                <c:pt idx="1">
                  <c:v>2013</c:v>
                </c:pt>
                <c:pt idx="2">
                  <c:v>2014</c:v>
                </c:pt>
                <c:pt idx="3">
                  <c:v>2015</c:v>
                </c:pt>
                <c:pt idx="4">
                  <c:v>2016</c:v>
                </c:pt>
              </c:numCache>
            </c:numRef>
          </c:cat>
          <c:val>
            <c:numRef>
              <c:f>PreIndGraph!$B$62:$F$62</c:f>
              <c:numCache>
                <c:formatCode>General</c:formatCode>
                <c:ptCount val="5"/>
                <c:pt idx="0">
                  <c:v>708</c:v>
                </c:pt>
                <c:pt idx="1">
                  <c:v>807</c:v>
                </c:pt>
                <c:pt idx="2">
                  <c:v>852</c:v>
                </c:pt>
                <c:pt idx="3">
                  <c:v>468</c:v>
                </c:pt>
                <c:pt idx="4">
                  <c:v>544</c:v>
                </c:pt>
              </c:numCache>
            </c:numRef>
          </c:val>
          <c:extLst>
            <c:ext xmlns:c16="http://schemas.microsoft.com/office/drawing/2014/chart" uri="{C3380CC4-5D6E-409C-BE32-E72D297353CC}">
              <c16:uniqueId val="{00000002-89AD-4FF1-A1A9-5A548B26D795}"/>
            </c:ext>
          </c:extLst>
        </c:ser>
        <c:ser>
          <c:idx val="3"/>
          <c:order val="3"/>
          <c:tx>
            <c:strRef>
              <c:f>PreIndGraph!$A$63</c:f>
              <c:strCache>
                <c:ptCount val="1"/>
                <c:pt idx="0">
                  <c:v>Drvo i namještaj</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PreIndGraph!$B$24:$F$24</c:f>
              <c:numCache>
                <c:formatCode>General</c:formatCode>
                <c:ptCount val="5"/>
                <c:pt idx="0">
                  <c:v>2012</c:v>
                </c:pt>
                <c:pt idx="1">
                  <c:v>2013</c:v>
                </c:pt>
                <c:pt idx="2">
                  <c:v>2014</c:v>
                </c:pt>
                <c:pt idx="3">
                  <c:v>2015</c:v>
                </c:pt>
                <c:pt idx="4">
                  <c:v>2016</c:v>
                </c:pt>
              </c:numCache>
            </c:numRef>
          </c:cat>
          <c:val>
            <c:numRef>
              <c:f>PreIndGraph!$B$63:$F$63</c:f>
              <c:numCache>
                <c:formatCode>General</c:formatCode>
                <c:ptCount val="5"/>
                <c:pt idx="0">
                  <c:v>24</c:v>
                </c:pt>
                <c:pt idx="1">
                  <c:v>24</c:v>
                </c:pt>
                <c:pt idx="2">
                  <c:v>24</c:v>
                </c:pt>
                <c:pt idx="3">
                  <c:v>538</c:v>
                </c:pt>
                <c:pt idx="4">
                  <c:v>613</c:v>
                </c:pt>
              </c:numCache>
            </c:numRef>
          </c:val>
          <c:extLst>
            <c:ext xmlns:c16="http://schemas.microsoft.com/office/drawing/2014/chart" uri="{C3380CC4-5D6E-409C-BE32-E72D297353CC}">
              <c16:uniqueId val="{00000003-89AD-4FF1-A1A9-5A548B26D795}"/>
            </c:ext>
          </c:extLst>
        </c:ser>
        <c:ser>
          <c:idx val="4"/>
          <c:order val="4"/>
          <c:tx>
            <c:strRef>
              <c:f>PreIndGraph!$A$64</c:f>
              <c:strCache>
                <c:ptCount val="1"/>
                <c:pt idx="0">
                  <c:v>Ostalo</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PreIndGraph!$B$24:$F$24</c:f>
              <c:numCache>
                <c:formatCode>General</c:formatCode>
                <c:ptCount val="5"/>
                <c:pt idx="0">
                  <c:v>2012</c:v>
                </c:pt>
                <c:pt idx="1">
                  <c:v>2013</c:v>
                </c:pt>
                <c:pt idx="2">
                  <c:v>2014</c:v>
                </c:pt>
                <c:pt idx="3">
                  <c:v>2015</c:v>
                </c:pt>
                <c:pt idx="4">
                  <c:v>2016</c:v>
                </c:pt>
              </c:numCache>
            </c:numRef>
          </c:cat>
          <c:val>
            <c:numRef>
              <c:f>PreIndGraph!$B$64:$F$64</c:f>
              <c:numCache>
                <c:formatCode>General</c:formatCode>
                <c:ptCount val="5"/>
                <c:pt idx="0">
                  <c:v>213</c:v>
                </c:pt>
                <c:pt idx="1">
                  <c:v>125</c:v>
                </c:pt>
                <c:pt idx="2">
                  <c:v>44</c:v>
                </c:pt>
                <c:pt idx="3">
                  <c:v>72</c:v>
                </c:pt>
                <c:pt idx="4">
                  <c:v>371</c:v>
                </c:pt>
              </c:numCache>
            </c:numRef>
          </c:val>
          <c:extLst>
            <c:ext xmlns:c16="http://schemas.microsoft.com/office/drawing/2014/chart" uri="{C3380CC4-5D6E-409C-BE32-E72D297353CC}">
              <c16:uniqueId val="{00000004-89AD-4FF1-A1A9-5A548B26D795}"/>
            </c:ext>
          </c:extLst>
        </c:ser>
        <c:dLbls>
          <c:showLegendKey val="0"/>
          <c:showVal val="0"/>
          <c:showCatName val="0"/>
          <c:showSerName val="0"/>
          <c:showPercent val="0"/>
          <c:showBubbleSize val="0"/>
        </c:dLbls>
        <c:gapWidth val="219"/>
        <c:overlap val="-27"/>
        <c:axId val="756486784"/>
        <c:axId val="632504160"/>
      </c:barChart>
      <c:catAx>
        <c:axId val="75648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504160"/>
        <c:crosses val="autoZero"/>
        <c:auto val="1"/>
        <c:lblAlgn val="ctr"/>
        <c:lblOffset val="100"/>
        <c:noMultiLvlLbl val="0"/>
      </c:catAx>
      <c:valAx>
        <c:axId val="63250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486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a:t>Broj</a:t>
            </a:r>
            <a:r>
              <a:rPr lang="en-US" sz="1200" b="0" baseline="0"/>
              <a:t> </a:t>
            </a:r>
            <a:r>
              <a:rPr lang="sr-Latn-BA" sz="1200" b="0" baseline="0"/>
              <a:t>zaposlenih u prerađivačkoj industriji, 2016</a:t>
            </a:r>
            <a:endParaRPr lang="en-US" sz="1200"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C07-41CA-97C9-24D477CBF9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C07-41CA-97C9-24D477CBF96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C07-41CA-97C9-24D477CBF96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C07-41CA-97C9-24D477CBF96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C07-41CA-97C9-24D477CBF966}"/>
              </c:ext>
            </c:extLst>
          </c:dPt>
          <c:dLbls>
            <c:dLbl>
              <c:idx val="0"/>
              <c:layout>
                <c:manualLayout>
                  <c:x val="-2.7777777777778798E-3"/>
                  <c:y val="-8.33333333333333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C07-41CA-97C9-24D477CBF966}"/>
                </c:ext>
              </c:extLst>
            </c:dLbl>
            <c:dLbl>
              <c:idx val="1"/>
              <c:layout>
                <c:manualLayout>
                  <c:x val="0.1388888888888889"/>
                  <c:y val="-3.703703703703703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C07-41CA-97C9-24D477CBF966}"/>
                </c:ext>
              </c:extLst>
            </c:dLbl>
            <c:dLbl>
              <c:idx val="2"/>
              <c:layout>
                <c:manualLayout>
                  <c:x val="-8.8888888888888892E-2"/>
                  <c:y val="7.87037037037037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C07-41CA-97C9-24D477CBF966}"/>
                </c:ext>
              </c:extLst>
            </c:dLbl>
            <c:dLbl>
              <c:idx val="3"/>
              <c:layout>
                <c:manualLayout>
                  <c:x val="-0.15"/>
                  <c:y val="0.1064814814814814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C07-41CA-97C9-24D477CBF966}"/>
                </c:ext>
              </c:extLst>
            </c:dLbl>
            <c:dLbl>
              <c:idx val="4"/>
              <c:layout>
                <c:manualLayout>
                  <c:x val="-0.15277777777777779"/>
                  <c:y val="2.31481481481481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C07-41CA-97C9-24D477CBF96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'Pre Ind'!$M$53:$M$57</c:f>
              <c:strCache>
                <c:ptCount val="5"/>
                <c:pt idx="0">
                  <c:v>Drvo i namještaj</c:v>
                </c:pt>
                <c:pt idx="1">
                  <c:v>Metalska industrija</c:v>
                </c:pt>
                <c:pt idx="2">
                  <c:v>Hrana i piće</c:v>
                </c:pt>
                <c:pt idx="3">
                  <c:v>Koža i obuća</c:v>
                </c:pt>
                <c:pt idx="4">
                  <c:v>Ostalo</c:v>
                </c:pt>
              </c:strCache>
            </c:strRef>
          </c:cat>
          <c:val>
            <c:numRef>
              <c:f>'Pre Ind'!$N$53:$N$57</c:f>
              <c:numCache>
                <c:formatCode>General</c:formatCode>
                <c:ptCount val="5"/>
                <c:pt idx="0">
                  <c:v>613</c:v>
                </c:pt>
                <c:pt idx="1">
                  <c:v>544</c:v>
                </c:pt>
                <c:pt idx="2">
                  <c:v>314</c:v>
                </c:pt>
                <c:pt idx="3">
                  <c:v>268</c:v>
                </c:pt>
                <c:pt idx="4">
                  <c:v>371</c:v>
                </c:pt>
              </c:numCache>
            </c:numRef>
          </c:val>
          <c:extLst>
            <c:ext xmlns:c16="http://schemas.microsoft.com/office/drawing/2014/chart" uri="{C3380CC4-5D6E-409C-BE32-E72D297353CC}">
              <c16:uniqueId val="{0000000A-EC07-41CA-97C9-24D477CBF96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Broj zaposlenih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Sheet2!$A$84:$E$84</c:f>
              <c:numCache>
                <c:formatCode>General</c:formatCode>
                <c:ptCount val="5"/>
                <c:pt idx="0">
                  <c:v>2012</c:v>
                </c:pt>
                <c:pt idx="1">
                  <c:v>2013</c:v>
                </c:pt>
                <c:pt idx="2">
                  <c:v>2014</c:v>
                </c:pt>
                <c:pt idx="3">
                  <c:v>2015</c:v>
                </c:pt>
                <c:pt idx="4">
                  <c:v>2016</c:v>
                </c:pt>
              </c:numCache>
            </c:numRef>
          </c:cat>
          <c:val>
            <c:numRef>
              <c:f>Sheet2!$A$85:$E$85</c:f>
              <c:numCache>
                <c:formatCode>General</c:formatCode>
                <c:ptCount val="5"/>
                <c:pt idx="0">
                  <c:v>5483</c:v>
                </c:pt>
                <c:pt idx="1">
                  <c:v>5660</c:v>
                </c:pt>
                <c:pt idx="2">
                  <c:v>5774</c:v>
                </c:pt>
                <c:pt idx="3">
                  <c:v>5966</c:v>
                </c:pt>
                <c:pt idx="4">
                  <c:v>6781</c:v>
                </c:pt>
              </c:numCache>
            </c:numRef>
          </c:val>
          <c:extLst>
            <c:ext xmlns:c16="http://schemas.microsoft.com/office/drawing/2014/chart" uri="{C3380CC4-5D6E-409C-BE32-E72D297353CC}">
              <c16:uniqueId val="{00000000-E25A-473A-8C33-371E9719EB1E}"/>
            </c:ext>
          </c:extLst>
        </c:ser>
        <c:dLbls>
          <c:showLegendKey val="0"/>
          <c:showVal val="0"/>
          <c:showCatName val="0"/>
          <c:showSerName val="0"/>
          <c:showPercent val="0"/>
          <c:showBubbleSize val="0"/>
        </c:dLbls>
        <c:gapWidth val="219"/>
        <c:overlap val="-27"/>
        <c:axId val="-1316331328"/>
        <c:axId val="-1316328608"/>
      </c:barChart>
      <c:catAx>
        <c:axId val="-131633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6328608"/>
        <c:crosses val="autoZero"/>
        <c:auto val="1"/>
        <c:lblAlgn val="ctr"/>
        <c:lblOffset val="100"/>
        <c:noMultiLvlLbl val="0"/>
      </c:catAx>
      <c:valAx>
        <c:axId val="-131632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6331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Broj nezaposlenih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Stan!$A$17</c:f>
              <c:strCache>
                <c:ptCount val="1"/>
                <c:pt idx="0">
                  <c:v>Muškarci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Stan!$B$16:$E$16</c:f>
              <c:numCache>
                <c:formatCode>General</c:formatCode>
                <c:ptCount val="4"/>
                <c:pt idx="0">
                  <c:v>2013</c:v>
                </c:pt>
                <c:pt idx="1">
                  <c:v>2014</c:v>
                </c:pt>
                <c:pt idx="2">
                  <c:v>2015</c:v>
                </c:pt>
                <c:pt idx="3">
                  <c:v>2016</c:v>
                </c:pt>
              </c:numCache>
            </c:numRef>
          </c:cat>
          <c:val>
            <c:numRef>
              <c:f>Stan!$B$17:$E$17</c:f>
              <c:numCache>
                <c:formatCode>General</c:formatCode>
                <c:ptCount val="4"/>
                <c:pt idx="0">
                  <c:v>1358</c:v>
                </c:pt>
                <c:pt idx="1">
                  <c:v>1389</c:v>
                </c:pt>
                <c:pt idx="2">
                  <c:v>1250</c:v>
                </c:pt>
                <c:pt idx="3">
                  <c:v>1245</c:v>
                </c:pt>
              </c:numCache>
            </c:numRef>
          </c:val>
          <c:extLst>
            <c:ext xmlns:c16="http://schemas.microsoft.com/office/drawing/2014/chart" uri="{C3380CC4-5D6E-409C-BE32-E72D297353CC}">
              <c16:uniqueId val="{00000000-3412-4B0C-93F8-C15134E2C82A}"/>
            </c:ext>
          </c:extLst>
        </c:ser>
        <c:ser>
          <c:idx val="1"/>
          <c:order val="1"/>
          <c:tx>
            <c:strRef>
              <c:f>Stan!$A$18</c:f>
              <c:strCache>
                <c:ptCount val="1"/>
                <c:pt idx="0">
                  <c:v>Žene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Stan!$B$16:$E$16</c:f>
              <c:numCache>
                <c:formatCode>General</c:formatCode>
                <c:ptCount val="4"/>
                <c:pt idx="0">
                  <c:v>2013</c:v>
                </c:pt>
                <c:pt idx="1">
                  <c:v>2014</c:v>
                </c:pt>
                <c:pt idx="2">
                  <c:v>2015</c:v>
                </c:pt>
                <c:pt idx="3">
                  <c:v>2016</c:v>
                </c:pt>
              </c:numCache>
            </c:numRef>
          </c:cat>
          <c:val>
            <c:numRef>
              <c:f>Stan!$B$18:$E$18</c:f>
              <c:numCache>
                <c:formatCode>General</c:formatCode>
                <c:ptCount val="4"/>
                <c:pt idx="0">
                  <c:v>1128</c:v>
                </c:pt>
                <c:pt idx="1">
                  <c:v>1263</c:v>
                </c:pt>
                <c:pt idx="2">
                  <c:v>1185</c:v>
                </c:pt>
                <c:pt idx="3">
                  <c:v>1178</c:v>
                </c:pt>
              </c:numCache>
            </c:numRef>
          </c:val>
          <c:extLst>
            <c:ext xmlns:c16="http://schemas.microsoft.com/office/drawing/2014/chart" uri="{C3380CC4-5D6E-409C-BE32-E72D297353CC}">
              <c16:uniqueId val="{00000001-3412-4B0C-93F8-C15134E2C82A}"/>
            </c:ext>
          </c:extLst>
        </c:ser>
        <c:dLbls>
          <c:showLegendKey val="0"/>
          <c:showVal val="0"/>
          <c:showCatName val="0"/>
          <c:showSerName val="0"/>
          <c:showPercent val="0"/>
          <c:showBubbleSize val="0"/>
        </c:dLbls>
        <c:gapWidth val="219"/>
        <c:overlap val="-27"/>
        <c:axId val="643643968"/>
        <c:axId val="643641248"/>
      </c:barChart>
      <c:catAx>
        <c:axId val="64364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641248"/>
        <c:crosses val="autoZero"/>
        <c:auto val="1"/>
        <c:lblAlgn val="ctr"/>
        <c:lblOffset val="100"/>
        <c:noMultiLvlLbl val="0"/>
      </c:catAx>
      <c:valAx>
        <c:axId val="64364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64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Lica na birou radi ostvarivanja drugih prava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Sheet2!$A$229</c:f>
              <c:strCache>
                <c:ptCount val="1"/>
                <c:pt idx="0">
                  <c:v>Muškarci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Sheet2!$B$228:$E$228</c:f>
              <c:numCache>
                <c:formatCode>General</c:formatCode>
                <c:ptCount val="4"/>
                <c:pt idx="0">
                  <c:v>2013</c:v>
                </c:pt>
                <c:pt idx="1">
                  <c:v>2014</c:v>
                </c:pt>
                <c:pt idx="2">
                  <c:v>2015</c:v>
                </c:pt>
                <c:pt idx="3">
                  <c:v>2016</c:v>
                </c:pt>
              </c:numCache>
            </c:numRef>
          </c:cat>
          <c:val>
            <c:numRef>
              <c:f>Sheet2!$B$229:$E$229</c:f>
              <c:numCache>
                <c:formatCode>General</c:formatCode>
                <c:ptCount val="4"/>
                <c:pt idx="0">
                  <c:v>1767</c:v>
                </c:pt>
                <c:pt idx="1">
                  <c:v>1766</c:v>
                </c:pt>
                <c:pt idx="2">
                  <c:v>1705</c:v>
                </c:pt>
                <c:pt idx="3">
                  <c:v>1591</c:v>
                </c:pt>
              </c:numCache>
            </c:numRef>
          </c:val>
          <c:extLst>
            <c:ext xmlns:c16="http://schemas.microsoft.com/office/drawing/2014/chart" uri="{C3380CC4-5D6E-409C-BE32-E72D297353CC}">
              <c16:uniqueId val="{00000000-4366-4ED9-84E4-0377BD795DB6}"/>
            </c:ext>
          </c:extLst>
        </c:ser>
        <c:ser>
          <c:idx val="1"/>
          <c:order val="1"/>
          <c:tx>
            <c:strRef>
              <c:f>Sheet2!$A$230</c:f>
              <c:strCache>
                <c:ptCount val="1"/>
                <c:pt idx="0">
                  <c:v>Žene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Sheet2!$B$228:$E$228</c:f>
              <c:numCache>
                <c:formatCode>General</c:formatCode>
                <c:ptCount val="4"/>
                <c:pt idx="0">
                  <c:v>2013</c:v>
                </c:pt>
                <c:pt idx="1">
                  <c:v>2014</c:v>
                </c:pt>
                <c:pt idx="2">
                  <c:v>2015</c:v>
                </c:pt>
                <c:pt idx="3">
                  <c:v>2016</c:v>
                </c:pt>
              </c:numCache>
            </c:numRef>
          </c:cat>
          <c:val>
            <c:numRef>
              <c:f>Sheet2!$B$230:$E$230</c:f>
              <c:numCache>
                <c:formatCode>General</c:formatCode>
                <c:ptCount val="4"/>
                <c:pt idx="0">
                  <c:v>1654</c:v>
                </c:pt>
                <c:pt idx="1">
                  <c:v>1704</c:v>
                </c:pt>
                <c:pt idx="2">
                  <c:v>1707</c:v>
                </c:pt>
                <c:pt idx="3">
                  <c:v>1660</c:v>
                </c:pt>
              </c:numCache>
            </c:numRef>
          </c:val>
          <c:extLst>
            <c:ext xmlns:c16="http://schemas.microsoft.com/office/drawing/2014/chart" uri="{C3380CC4-5D6E-409C-BE32-E72D297353CC}">
              <c16:uniqueId val="{00000001-4366-4ED9-84E4-0377BD795DB6}"/>
            </c:ext>
          </c:extLst>
        </c:ser>
        <c:dLbls>
          <c:showLegendKey val="0"/>
          <c:showVal val="0"/>
          <c:showCatName val="0"/>
          <c:showSerName val="0"/>
          <c:showPercent val="0"/>
          <c:showBubbleSize val="0"/>
        </c:dLbls>
        <c:gapWidth val="219"/>
        <c:overlap val="-27"/>
        <c:axId val="-1344715568"/>
        <c:axId val="-1344710672"/>
      </c:barChart>
      <c:catAx>
        <c:axId val="-134471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4710672"/>
        <c:crosses val="autoZero"/>
        <c:auto val="1"/>
        <c:lblAlgn val="ctr"/>
        <c:lblOffset val="100"/>
        <c:noMultiLvlLbl val="0"/>
      </c:catAx>
      <c:valAx>
        <c:axId val="-134471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471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Struktura predu</a:t>
            </a:r>
            <a:r>
              <a:rPr lang="sr-Latn-BA" sz="1200"/>
              <a:t>z</a:t>
            </a:r>
            <a:r>
              <a:rPr lang="en-US" sz="1200"/>
              <a:t>e</a:t>
            </a:r>
            <a:r>
              <a:rPr lang="sr-Latn-BA" sz="1200"/>
              <a:t>ć</a:t>
            </a:r>
            <a:r>
              <a:rPr lang="en-US" sz="1200"/>
              <a:t>a prema broju </a:t>
            </a:r>
            <a:r>
              <a:rPr lang="sr-Latn-BA" sz="1200"/>
              <a:t>zaposlenih</a:t>
            </a:r>
            <a:endParaRPr lang="en-US" sz="1200"/>
          </a:p>
        </c:rich>
      </c:tx>
      <c:overlay val="0"/>
      <c:spPr>
        <a:noFill/>
        <a:ln>
          <a:noFill/>
        </a:ln>
        <a:effectLst/>
      </c:spPr>
    </c:title>
    <c:autoTitleDeleted val="0"/>
    <c:plotArea>
      <c:layout/>
      <c:barChart>
        <c:barDir val="col"/>
        <c:grouping val="stacked"/>
        <c:varyColors val="0"/>
        <c:ser>
          <c:idx val="0"/>
          <c:order val="0"/>
          <c:tx>
            <c:strRef>
              <c:f>PrivSub!$A$14</c:f>
              <c:strCache>
                <c:ptCount val="1"/>
                <c:pt idx="0">
                  <c:v>0 do 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PrivSub!$B$12:$F$13</c:f>
              <c:strCache>
                <c:ptCount val="5"/>
                <c:pt idx="0">
                  <c:v>2012</c:v>
                </c:pt>
                <c:pt idx="1">
                  <c:v>2013</c:v>
                </c:pt>
                <c:pt idx="2">
                  <c:v>2014</c:v>
                </c:pt>
                <c:pt idx="3">
                  <c:v>2015</c:v>
                </c:pt>
                <c:pt idx="4">
                  <c:v>2016</c:v>
                </c:pt>
              </c:strCache>
            </c:strRef>
          </c:cat>
          <c:val>
            <c:numRef>
              <c:f>PrivSub!$B$14:$F$14</c:f>
              <c:numCache>
                <c:formatCode>General</c:formatCode>
                <c:ptCount val="5"/>
                <c:pt idx="0">
                  <c:v>170</c:v>
                </c:pt>
                <c:pt idx="1">
                  <c:v>171</c:v>
                </c:pt>
                <c:pt idx="2">
                  <c:v>173</c:v>
                </c:pt>
                <c:pt idx="3">
                  <c:v>179</c:v>
                </c:pt>
                <c:pt idx="4">
                  <c:v>179</c:v>
                </c:pt>
              </c:numCache>
            </c:numRef>
          </c:val>
          <c:extLst>
            <c:ext xmlns:c16="http://schemas.microsoft.com/office/drawing/2014/chart" uri="{C3380CC4-5D6E-409C-BE32-E72D297353CC}">
              <c16:uniqueId val="{00000000-3AAF-426B-8A8A-A1281DE66B7A}"/>
            </c:ext>
          </c:extLst>
        </c:ser>
        <c:ser>
          <c:idx val="1"/>
          <c:order val="1"/>
          <c:tx>
            <c:strRef>
              <c:f>PrivSub!$A$15</c:f>
              <c:strCache>
                <c:ptCount val="1"/>
                <c:pt idx="0">
                  <c:v>10 do 49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PrivSub!$B$12:$F$13</c:f>
              <c:strCache>
                <c:ptCount val="5"/>
                <c:pt idx="0">
                  <c:v>2012</c:v>
                </c:pt>
                <c:pt idx="1">
                  <c:v>2013</c:v>
                </c:pt>
                <c:pt idx="2">
                  <c:v>2014</c:v>
                </c:pt>
                <c:pt idx="3">
                  <c:v>2015</c:v>
                </c:pt>
                <c:pt idx="4">
                  <c:v>2016</c:v>
                </c:pt>
              </c:strCache>
            </c:strRef>
          </c:cat>
          <c:val>
            <c:numRef>
              <c:f>PrivSub!$B$15:$F$15</c:f>
              <c:numCache>
                <c:formatCode>General</c:formatCode>
                <c:ptCount val="5"/>
                <c:pt idx="0">
                  <c:v>42</c:v>
                </c:pt>
                <c:pt idx="1">
                  <c:v>37</c:v>
                </c:pt>
                <c:pt idx="2">
                  <c:v>35</c:v>
                </c:pt>
                <c:pt idx="3">
                  <c:v>44</c:v>
                </c:pt>
                <c:pt idx="4">
                  <c:v>43</c:v>
                </c:pt>
              </c:numCache>
            </c:numRef>
          </c:val>
          <c:extLst>
            <c:ext xmlns:c16="http://schemas.microsoft.com/office/drawing/2014/chart" uri="{C3380CC4-5D6E-409C-BE32-E72D297353CC}">
              <c16:uniqueId val="{00000001-3AAF-426B-8A8A-A1281DE66B7A}"/>
            </c:ext>
          </c:extLst>
        </c:ser>
        <c:ser>
          <c:idx val="2"/>
          <c:order val="2"/>
          <c:tx>
            <c:strRef>
              <c:f>PrivSub!$A$16</c:f>
              <c:strCache>
                <c:ptCount val="1"/>
                <c:pt idx="0">
                  <c:v>50 do 249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PrivSub!$B$12:$F$13</c:f>
              <c:strCache>
                <c:ptCount val="5"/>
                <c:pt idx="0">
                  <c:v>2012</c:v>
                </c:pt>
                <c:pt idx="1">
                  <c:v>2013</c:v>
                </c:pt>
                <c:pt idx="2">
                  <c:v>2014</c:v>
                </c:pt>
                <c:pt idx="3">
                  <c:v>2015</c:v>
                </c:pt>
                <c:pt idx="4">
                  <c:v>2016</c:v>
                </c:pt>
              </c:strCache>
            </c:strRef>
          </c:cat>
          <c:val>
            <c:numRef>
              <c:f>PrivSub!$B$16:$F$16</c:f>
              <c:numCache>
                <c:formatCode>General</c:formatCode>
                <c:ptCount val="5"/>
                <c:pt idx="0">
                  <c:v>14</c:v>
                </c:pt>
                <c:pt idx="1">
                  <c:v>14</c:v>
                </c:pt>
                <c:pt idx="2">
                  <c:v>13</c:v>
                </c:pt>
                <c:pt idx="3">
                  <c:v>14</c:v>
                </c:pt>
                <c:pt idx="4">
                  <c:v>13</c:v>
                </c:pt>
              </c:numCache>
            </c:numRef>
          </c:val>
          <c:extLst>
            <c:ext xmlns:c16="http://schemas.microsoft.com/office/drawing/2014/chart" uri="{C3380CC4-5D6E-409C-BE32-E72D297353CC}">
              <c16:uniqueId val="{00000002-3AAF-426B-8A8A-A1281DE66B7A}"/>
            </c:ext>
          </c:extLst>
        </c:ser>
        <c:ser>
          <c:idx val="3"/>
          <c:order val="3"/>
          <c:tx>
            <c:strRef>
              <c:f>PrivSub!$A$17</c:f>
              <c:strCache>
                <c:ptCount val="1"/>
                <c:pt idx="0">
                  <c:v>250 i više</c:v>
                </c:pt>
              </c:strCache>
            </c:strRef>
          </c:tx>
          <c:spPr>
            <a:solidFill>
              <a:schemeClr val="accent4"/>
            </a:solidFill>
            <a:ln>
              <a:noFill/>
            </a:ln>
            <a:effectLst/>
          </c:spPr>
          <c:invertIfNegative val="0"/>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AF-426B-8A8A-A1281DE66B7A}"/>
                </c:ext>
              </c:extLst>
            </c:dLbl>
            <c:dLbl>
              <c:idx val="1"/>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AF-426B-8A8A-A1281DE66B7A}"/>
                </c:ext>
              </c:extLst>
            </c:dLbl>
            <c:dLbl>
              <c:idx val="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AF-426B-8A8A-A1281DE66B7A}"/>
                </c:ext>
              </c:extLst>
            </c:dLbl>
            <c:dLbl>
              <c:idx val="3"/>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AF-426B-8A8A-A1281DE66B7A}"/>
                </c:ext>
              </c:extLst>
            </c:dLbl>
            <c:dLbl>
              <c:idx val="4"/>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8-3AAF-426B-8A8A-A1281DE66B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PrivSub!$B$12:$F$13</c:f>
              <c:strCache>
                <c:ptCount val="5"/>
                <c:pt idx="0">
                  <c:v>2012</c:v>
                </c:pt>
                <c:pt idx="1">
                  <c:v>2013</c:v>
                </c:pt>
                <c:pt idx="2">
                  <c:v>2014</c:v>
                </c:pt>
                <c:pt idx="3">
                  <c:v>2015</c:v>
                </c:pt>
                <c:pt idx="4">
                  <c:v>2016</c:v>
                </c:pt>
              </c:strCache>
            </c:strRef>
          </c:cat>
          <c:val>
            <c:numRef>
              <c:f>PrivSub!$B$17:$F$17</c:f>
              <c:numCache>
                <c:formatCode>General</c:formatCode>
                <c:ptCount val="5"/>
                <c:pt idx="0">
                  <c:v>1</c:v>
                </c:pt>
                <c:pt idx="1">
                  <c:v>1</c:v>
                </c:pt>
                <c:pt idx="2">
                  <c:v>1</c:v>
                </c:pt>
                <c:pt idx="3">
                  <c:v>2</c:v>
                </c:pt>
                <c:pt idx="4">
                  <c:v>3</c:v>
                </c:pt>
              </c:numCache>
            </c:numRef>
          </c:val>
          <c:extLst>
            <c:ext xmlns:c16="http://schemas.microsoft.com/office/drawing/2014/chart" uri="{C3380CC4-5D6E-409C-BE32-E72D297353CC}">
              <c16:uniqueId val="{00000007-3AAF-426B-8A8A-A1281DE66B7A}"/>
            </c:ext>
          </c:extLst>
        </c:ser>
        <c:dLbls>
          <c:showLegendKey val="0"/>
          <c:showVal val="0"/>
          <c:showCatName val="0"/>
          <c:showSerName val="0"/>
          <c:showPercent val="0"/>
          <c:showBubbleSize val="0"/>
        </c:dLbls>
        <c:gapWidth val="150"/>
        <c:overlap val="100"/>
        <c:axId val="643646144"/>
        <c:axId val="643641792"/>
      </c:barChart>
      <c:catAx>
        <c:axId val="64364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641792"/>
        <c:crosses val="autoZero"/>
        <c:auto val="1"/>
        <c:lblAlgn val="ctr"/>
        <c:lblOffset val="100"/>
        <c:noMultiLvlLbl val="0"/>
      </c:catAx>
      <c:valAx>
        <c:axId val="64364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64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a:t>Broj </a:t>
            </a:r>
            <a:r>
              <a:rPr lang="sr-Latn-BA" sz="1200" b="0"/>
              <a:t>preduzeća prema područjima, 201</a:t>
            </a:r>
            <a:r>
              <a:rPr lang="en-US" sz="1200" b="0"/>
              <a:t>6</a:t>
            </a:r>
            <a:endParaRPr lang="en-US" b="0"/>
          </a:p>
        </c:rich>
      </c:tx>
      <c:layout>
        <c:manualLayout>
          <c:xMode val="edge"/>
          <c:yMode val="edge"/>
          <c:x val="0.2489824726965308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5FF-4702-978C-C65EB5E71BA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5FF-4702-978C-C65EB5E71BA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5FF-4702-978C-C65EB5E71BA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5FF-4702-978C-C65EB5E71BA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5FF-4702-978C-C65EB5E71BA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5FF-4702-978C-C65EB5E71BA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5FF-4702-978C-C65EB5E71BA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5FF-4702-978C-C65EB5E71BAE}"/>
              </c:ext>
            </c:extLst>
          </c:dPt>
          <c:dLbls>
            <c:dLbl>
              <c:idx val="0"/>
              <c:layout>
                <c:manualLayout>
                  <c:x val="9.7222222222222127E-2"/>
                  <c:y val="0.12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5FF-4702-978C-C65EB5E71BAE}"/>
                </c:ext>
              </c:extLst>
            </c:dLbl>
            <c:dLbl>
              <c:idx val="1"/>
              <c:layout>
                <c:manualLayout>
                  <c:x val="0.21388888888888888"/>
                  <c:y val="-6.48148148148148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5FF-4702-978C-C65EB5E71BAE}"/>
                </c:ext>
              </c:extLst>
            </c:dLbl>
            <c:dLbl>
              <c:idx val="2"/>
              <c:layout>
                <c:manualLayout>
                  <c:x val="-0.1388888888888889"/>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5FF-4702-978C-C65EB5E71BAE}"/>
                </c:ext>
              </c:extLst>
            </c:dLbl>
            <c:dLbl>
              <c:idx val="3"/>
              <c:layout>
                <c:manualLayout>
                  <c:x val="-0.14166666666666666"/>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5FF-4702-978C-C65EB5E71BAE}"/>
                </c:ext>
              </c:extLst>
            </c:dLbl>
            <c:dLbl>
              <c:idx val="4"/>
              <c:layout>
                <c:manualLayout>
                  <c:x val="-9.4444444444444456E-2"/>
                  <c:y val="-1.851851851851851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5FF-4702-978C-C65EB5E71BAE}"/>
                </c:ext>
              </c:extLst>
            </c:dLbl>
            <c:dLbl>
              <c:idx val="5"/>
              <c:layout>
                <c:manualLayout>
                  <c:x val="-0.10555555555555557"/>
                  <c:y val="-3.70370370370370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5FF-4702-978C-C65EB5E71BAE}"/>
                </c:ext>
              </c:extLst>
            </c:dLbl>
            <c:dLbl>
              <c:idx val="6"/>
              <c:layout>
                <c:manualLayout>
                  <c:x val="-0.12638888888888894"/>
                  <c:y val="-7.8703703703703706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732699037620295"/>
                      <c:h val="0.11673082531350248"/>
                    </c:manualLayout>
                  </c15:layout>
                </c:ext>
                <c:ext xmlns:c16="http://schemas.microsoft.com/office/drawing/2014/chart" uri="{C3380CC4-5D6E-409C-BE32-E72D297353CC}">
                  <c16:uniqueId val="{0000000D-85FF-4702-978C-C65EB5E71BAE}"/>
                </c:ext>
              </c:extLst>
            </c:dLbl>
            <c:dLbl>
              <c:idx val="7"/>
              <c:layout>
                <c:manualLayout>
                  <c:x val="0.23055555555555557"/>
                  <c:y val="-1.388888888888887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5FF-4702-978C-C65EB5E71BA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'KD 16'!$M$1:$M$8</c:f>
              <c:strCache>
                <c:ptCount val="8"/>
                <c:pt idx="0">
                  <c:v>Trgovina na veliko i malo, popravak motornih vozila i motocikala</c:v>
                </c:pt>
                <c:pt idx="1">
                  <c:v>Prerađivačka industrija</c:v>
                </c:pt>
                <c:pt idx="2">
                  <c:v>Stručne, naučne i tehničke djelatnosti</c:v>
                </c:pt>
                <c:pt idx="3">
                  <c:v>Prevoz i skladištenje</c:v>
                </c:pt>
                <c:pt idx="4">
                  <c:v>Djelatnosti zdravstvene i socijalne zaštite</c:v>
                </c:pt>
                <c:pt idx="5">
                  <c:v>Poljoprivreda, šumarstvo i ribolov </c:v>
                </c:pt>
                <c:pt idx="6">
                  <c:v>Građevinarstvo</c:v>
                </c:pt>
                <c:pt idx="7">
                  <c:v>Ostalo</c:v>
                </c:pt>
              </c:strCache>
            </c:strRef>
          </c:cat>
          <c:val>
            <c:numRef>
              <c:f>'KD 16'!$N$1:$N$8</c:f>
              <c:numCache>
                <c:formatCode>General</c:formatCode>
                <c:ptCount val="8"/>
                <c:pt idx="0">
                  <c:v>73</c:v>
                </c:pt>
                <c:pt idx="1">
                  <c:v>63</c:v>
                </c:pt>
                <c:pt idx="2">
                  <c:v>19</c:v>
                </c:pt>
                <c:pt idx="3">
                  <c:v>22</c:v>
                </c:pt>
                <c:pt idx="4">
                  <c:v>13</c:v>
                </c:pt>
                <c:pt idx="5">
                  <c:v>16</c:v>
                </c:pt>
                <c:pt idx="6">
                  <c:v>12</c:v>
                </c:pt>
                <c:pt idx="7">
                  <c:v>20</c:v>
                </c:pt>
              </c:numCache>
            </c:numRef>
          </c:val>
          <c:extLst>
            <c:ext xmlns:c16="http://schemas.microsoft.com/office/drawing/2014/chart" uri="{C3380CC4-5D6E-409C-BE32-E72D297353CC}">
              <c16:uniqueId val="{00000010-85FF-4702-978C-C65EB5E71BA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Prihodi prema podru</a:t>
            </a:r>
            <a:r>
              <a:rPr lang="sr-Latn-BA" sz="1200"/>
              <a:t>čjima,</a:t>
            </a:r>
            <a:r>
              <a:rPr lang="sr-Latn-BA" sz="1200" baseline="0"/>
              <a:t> 2012-2016</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prihod!$A$44</c:f>
              <c:strCache>
                <c:ptCount val="1"/>
                <c:pt idx="0">
                  <c:v>Trgovina na veliko i malo, popravak motornih vozila i motocikala</c:v>
                </c:pt>
              </c:strCache>
            </c:strRef>
          </c:tx>
          <c:spPr>
            <a:solidFill>
              <a:schemeClr val="accent1"/>
            </a:solidFill>
            <a:ln>
              <a:noFill/>
            </a:ln>
            <a:effectLst/>
          </c:spPr>
          <c:invertIfNegative val="0"/>
          <c:cat>
            <c:numRef>
              <c:f>prihod!$B$29:$F$29</c:f>
              <c:numCache>
                <c:formatCode>General</c:formatCode>
                <c:ptCount val="5"/>
                <c:pt idx="0">
                  <c:v>2012</c:v>
                </c:pt>
                <c:pt idx="1">
                  <c:v>2013</c:v>
                </c:pt>
                <c:pt idx="2">
                  <c:v>2014</c:v>
                </c:pt>
                <c:pt idx="3">
                  <c:v>2015</c:v>
                </c:pt>
                <c:pt idx="4">
                  <c:v>2016</c:v>
                </c:pt>
              </c:numCache>
            </c:numRef>
          </c:cat>
          <c:val>
            <c:numRef>
              <c:f>prihod!$B$44:$F$44</c:f>
              <c:numCache>
                <c:formatCode>#,##0</c:formatCode>
                <c:ptCount val="5"/>
                <c:pt idx="0">
                  <c:v>382537271</c:v>
                </c:pt>
                <c:pt idx="1">
                  <c:v>359235089</c:v>
                </c:pt>
                <c:pt idx="2">
                  <c:v>379541823</c:v>
                </c:pt>
                <c:pt idx="3">
                  <c:v>386595877</c:v>
                </c:pt>
                <c:pt idx="4">
                  <c:v>380784662</c:v>
                </c:pt>
              </c:numCache>
            </c:numRef>
          </c:val>
          <c:extLst>
            <c:ext xmlns:c16="http://schemas.microsoft.com/office/drawing/2014/chart" uri="{C3380CC4-5D6E-409C-BE32-E72D297353CC}">
              <c16:uniqueId val="{00000000-110F-436A-908E-203BCE31A70F}"/>
            </c:ext>
          </c:extLst>
        </c:ser>
        <c:ser>
          <c:idx val="1"/>
          <c:order val="1"/>
          <c:tx>
            <c:strRef>
              <c:f>prihod!$A$45</c:f>
              <c:strCache>
                <c:ptCount val="1"/>
                <c:pt idx="0">
                  <c:v>Prerađivačka industrija</c:v>
                </c:pt>
              </c:strCache>
            </c:strRef>
          </c:tx>
          <c:spPr>
            <a:solidFill>
              <a:schemeClr val="accent2"/>
            </a:solidFill>
            <a:ln>
              <a:noFill/>
            </a:ln>
            <a:effectLst/>
          </c:spPr>
          <c:invertIfNegative val="0"/>
          <c:cat>
            <c:numRef>
              <c:f>prihod!$B$29:$F$29</c:f>
              <c:numCache>
                <c:formatCode>General</c:formatCode>
                <c:ptCount val="5"/>
                <c:pt idx="0">
                  <c:v>2012</c:v>
                </c:pt>
                <c:pt idx="1">
                  <c:v>2013</c:v>
                </c:pt>
                <c:pt idx="2">
                  <c:v>2014</c:v>
                </c:pt>
                <c:pt idx="3">
                  <c:v>2015</c:v>
                </c:pt>
                <c:pt idx="4">
                  <c:v>2016</c:v>
                </c:pt>
              </c:numCache>
            </c:numRef>
          </c:cat>
          <c:val>
            <c:numRef>
              <c:f>prihod!$B$45:$F$45</c:f>
              <c:numCache>
                <c:formatCode>#,##0</c:formatCode>
                <c:ptCount val="5"/>
                <c:pt idx="0">
                  <c:v>143237020</c:v>
                </c:pt>
                <c:pt idx="1">
                  <c:v>153508800</c:v>
                </c:pt>
                <c:pt idx="2">
                  <c:v>151572355</c:v>
                </c:pt>
                <c:pt idx="3">
                  <c:v>184899564</c:v>
                </c:pt>
                <c:pt idx="4">
                  <c:v>204695027</c:v>
                </c:pt>
              </c:numCache>
            </c:numRef>
          </c:val>
          <c:extLst>
            <c:ext xmlns:c16="http://schemas.microsoft.com/office/drawing/2014/chart" uri="{C3380CC4-5D6E-409C-BE32-E72D297353CC}">
              <c16:uniqueId val="{00000001-110F-436A-908E-203BCE31A70F}"/>
            </c:ext>
          </c:extLst>
        </c:ser>
        <c:ser>
          <c:idx val="2"/>
          <c:order val="2"/>
          <c:tx>
            <c:strRef>
              <c:f>prihod!$A$46</c:f>
              <c:strCache>
                <c:ptCount val="1"/>
                <c:pt idx="0">
                  <c:v>Poljoprivreda, šumarstvo i ribolov </c:v>
                </c:pt>
              </c:strCache>
            </c:strRef>
          </c:tx>
          <c:spPr>
            <a:solidFill>
              <a:schemeClr val="accent3"/>
            </a:solidFill>
            <a:ln>
              <a:noFill/>
            </a:ln>
            <a:effectLst/>
          </c:spPr>
          <c:invertIfNegative val="0"/>
          <c:cat>
            <c:numRef>
              <c:f>prihod!$B$29:$F$29</c:f>
              <c:numCache>
                <c:formatCode>General</c:formatCode>
                <c:ptCount val="5"/>
                <c:pt idx="0">
                  <c:v>2012</c:v>
                </c:pt>
                <c:pt idx="1">
                  <c:v>2013</c:v>
                </c:pt>
                <c:pt idx="2">
                  <c:v>2014</c:v>
                </c:pt>
                <c:pt idx="3">
                  <c:v>2015</c:v>
                </c:pt>
                <c:pt idx="4">
                  <c:v>2016</c:v>
                </c:pt>
              </c:numCache>
            </c:numRef>
          </c:cat>
          <c:val>
            <c:numRef>
              <c:f>prihod!$B$46:$F$46</c:f>
              <c:numCache>
                <c:formatCode>#,##0</c:formatCode>
                <c:ptCount val="5"/>
                <c:pt idx="0">
                  <c:v>17130437</c:v>
                </c:pt>
                <c:pt idx="1">
                  <c:v>17026739</c:v>
                </c:pt>
                <c:pt idx="2">
                  <c:v>5696983</c:v>
                </c:pt>
                <c:pt idx="3">
                  <c:v>17150480</c:v>
                </c:pt>
                <c:pt idx="4">
                  <c:v>14524116</c:v>
                </c:pt>
              </c:numCache>
            </c:numRef>
          </c:val>
          <c:extLst>
            <c:ext xmlns:c16="http://schemas.microsoft.com/office/drawing/2014/chart" uri="{C3380CC4-5D6E-409C-BE32-E72D297353CC}">
              <c16:uniqueId val="{00000002-110F-436A-908E-203BCE31A70F}"/>
            </c:ext>
          </c:extLst>
        </c:ser>
        <c:ser>
          <c:idx val="3"/>
          <c:order val="3"/>
          <c:tx>
            <c:strRef>
              <c:f>prihod!$A$47</c:f>
              <c:strCache>
                <c:ptCount val="1"/>
                <c:pt idx="0">
                  <c:v>Građevinarstvo</c:v>
                </c:pt>
              </c:strCache>
            </c:strRef>
          </c:tx>
          <c:spPr>
            <a:solidFill>
              <a:schemeClr val="accent4"/>
            </a:solidFill>
            <a:ln>
              <a:noFill/>
            </a:ln>
            <a:effectLst/>
          </c:spPr>
          <c:invertIfNegative val="0"/>
          <c:cat>
            <c:numRef>
              <c:f>prihod!$B$29:$F$29</c:f>
              <c:numCache>
                <c:formatCode>General</c:formatCode>
                <c:ptCount val="5"/>
                <c:pt idx="0">
                  <c:v>2012</c:v>
                </c:pt>
                <c:pt idx="1">
                  <c:v>2013</c:v>
                </c:pt>
                <c:pt idx="2">
                  <c:v>2014</c:v>
                </c:pt>
                <c:pt idx="3">
                  <c:v>2015</c:v>
                </c:pt>
                <c:pt idx="4">
                  <c:v>2016</c:v>
                </c:pt>
              </c:numCache>
            </c:numRef>
          </c:cat>
          <c:val>
            <c:numRef>
              <c:f>prihod!$B$47:$F$47</c:f>
              <c:numCache>
                <c:formatCode>#,##0</c:formatCode>
                <c:ptCount val="5"/>
                <c:pt idx="0">
                  <c:v>20783681</c:v>
                </c:pt>
                <c:pt idx="1">
                  <c:v>18795695</c:v>
                </c:pt>
                <c:pt idx="2">
                  <c:v>13978735</c:v>
                </c:pt>
                <c:pt idx="3">
                  <c:v>15378832</c:v>
                </c:pt>
                <c:pt idx="4">
                  <c:v>19054671</c:v>
                </c:pt>
              </c:numCache>
            </c:numRef>
          </c:val>
          <c:extLst>
            <c:ext xmlns:c16="http://schemas.microsoft.com/office/drawing/2014/chart" uri="{C3380CC4-5D6E-409C-BE32-E72D297353CC}">
              <c16:uniqueId val="{00000003-110F-436A-908E-203BCE31A70F}"/>
            </c:ext>
          </c:extLst>
        </c:ser>
        <c:ser>
          <c:idx val="4"/>
          <c:order val="4"/>
          <c:tx>
            <c:strRef>
              <c:f>prihod!$A$48</c:f>
              <c:strCache>
                <c:ptCount val="1"/>
                <c:pt idx="0">
                  <c:v>Prevoz i skladištenje</c:v>
                </c:pt>
              </c:strCache>
            </c:strRef>
          </c:tx>
          <c:spPr>
            <a:solidFill>
              <a:schemeClr val="accent5"/>
            </a:solidFill>
            <a:ln>
              <a:noFill/>
            </a:ln>
            <a:effectLst/>
          </c:spPr>
          <c:invertIfNegative val="0"/>
          <c:cat>
            <c:numRef>
              <c:f>prihod!$B$29:$F$29</c:f>
              <c:numCache>
                <c:formatCode>General</c:formatCode>
                <c:ptCount val="5"/>
                <c:pt idx="0">
                  <c:v>2012</c:v>
                </c:pt>
                <c:pt idx="1">
                  <c:v>2013</c:v>
                </c:pt>
                <c:pt idx="2">
                  <c:v>2014</c:v>
                </c:pt>
                <c:pt idx="3">
                  <c:v>2015</c:v>
                </c:pt>
                <c:pt idx="4">
                  <c:v>2016</c:v>
                </c:pt>
              </c:numCache>
            </c:numRef>
          </c:cat>
          <c:val>
            <c:numRef>
              <c:f>prihod!$B$48:$F$48</c:f>
              <c:numCache>
                <c:formatCode>#,##0</c:formatCode>
                <c:ptCount val="5"/>
                <c:pt idx="0">
                  <c:v>10816947</c:v>
                </c:pt>
                <c:pt idx="1">
                  <c:v>12211042</c:v>
                </c:pt>
                <c:pt idx="2">
                  <c:v>13207774</c:v>
                </c:pt>
                <c:pt idx="3">
                  <c:v>13821377</c:v>
                </c:pt>
                <c:pt idx="4">
                  <c:v>15919327</c:v>
                </c:pt>
              </c:numCache>
            </c:numRef>
          </c:val>
          <c:extLst>
            <c:ext xmlns:c16="http://schemas.microsoft.com/office/drawing/2014/chart" uri="{C3380CC4-5D6E-409C-BE32-E72D297353CC}">
              <c16:uniqueId val="{00000004-110F-436A-908E-203BCE31A70F}"/>
            </c:ext>
          </c:extLst>
        </c:ser>
        <c:ser>
          <c:idx val="5"/>
          <c:order val="5"/>
          <c:tx>
            <c:strRef>
              <c:f>prihod!$A$49</c:f>
              <c:strCache>
                <c:ptCount val="1"/>
                <c:pt idx="0">
                  <c:v>Ostalo</c:v>
                </c:pt>
              </c:strCache>
            </c:strRef>
          </c:tx>
          <c:spPr>
            <a:solidFill>
              <a:schemeClr val="accent6"/>
            </a:solidFill>
            <a:ln>
              <a:noFill/>
            </a:ln>
            <a:effectLst/>
          </c:spPr>
          <c:invertIfNegative val="0"/>
          <c:cat>
            <c:numRef>
              <c:f>prihod!$B$29:$F$29</c:f>
              <c:numCache>
                <c:formatCode>General</c:formatCode>
                <c:ptCount val="5"/>
                <c:pt idx="0">
                  <c:v>2012</c:v>
                </c:pt>
                <c:pt idx="1">
                  <c:v>2013</c:v>
                </c:pt>
                <c:pt idx="2">
                  <c:v>2014</c:v>
                </c:pt>
                <c:pt idx="3">
                  <c:v>2015</c:v>
                </c:pt>
                <c:pt idx="4">
                  <c:v>2016</c:v>
                </c:pt>
              </c:numCache>
            </c:numRef>
          </c:cat>
          <c:val>
            <c:numRef>
              <c:f>prihod!$B$49:$F$49</c:f>
              <c:numCache>
                <c:formatCode>#,##0</c:formatCode>
                <c:ptCount val="5"/>
                <c:pt idx="0">
                  <c:v>13982065</c:v>
                </c:pt>
                <c:pt idx="1">
                  <c:v>15079693</c:v>
                </c:pt>
                <c:pt idx="2">
                  <c:v>11721230</c:v>
                </c:pt>
                <c:pt idx="3">
                  <c:v>17608645</c:v>
                </c:pt>
                <c:pt idx="4">
                  <c:v>19739463</c:v>
                </c:pt>
              </c:numCache>
            </c:numRef>
          </c:val>
          <c:extLst>
            <c:ext xmlns:c16="http://schemas.microsoft.com/office/drawing/2014/chart" uri="{C3380CC4-5D6E-409C-BE32-E72D297353CC}">
              <c16:uniqueId val="{00000005-110F-436A-908E-203BCE31A70F}"/>
            </c:ext>
          </c:extLst>
        </c:ser>
        <c:dLbls>
          <c:showLegendKey val="0"/>
          <c:showVal val="0"/>
          <c:showCatName val="0"/>
          <c:showSerName val="0"/>
          <c:showPercent val="0"/>
          <c:showBubbleSize val="0"/>
        </c:dLbls>
        <c:gapWidth val="219"/>
        <c:overlap val="-27"/>
        <c:axId val="756085760"/>
        <c:axId val="638073008"/>
      </c:barChart>
      <c:catAx>
        <c:axId val="75608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073008"/>
        <c:crosses val="autoZero"/>
        <c:auto val="1"/>
        <c:lblAlgn val="ctr"/>
        <c:lblOffset val="100"/>
        <c:noMultiLvlLbl val="0"/>
      </c:catAx>
      <c:valAx>
        <c:axId val="638073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08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Prihodi predu</a:t>
            </a:r>
            <a:r>
              <a:rPr lang="sr-Latn-BA" sz="1200"/>
              <a:t>z</a:t>
            </a:r>
            <a:r>
              <a:rPr lang="en-US" sz="1200"/>
              <a:t>e</a:t>
            </a:r>
            <a:r>
              <a:rPr lang="sr-Latn-BA" sz="1200"/>
              <a:t>ć</a:t>
            </a:r>
            <a:r>
              <a:rPr lang="en-US" sz="1200"/>
              <a:t>a u prera</a:t>
            </a:r>
            <a:r>
              <a:rPr lang="sr-Latn-BA" sz="1200"/>
              <a:t>đivačkoj</a:t>
            </a:r>
            <a:r>
              <a:rPr lang="sr-Latn-BA" sz="1200" baseline="0"/>
              <a:t> industriji, 2012-201</a:t>
            </a:r>
            <a:r>
              <a:rPr lang="en-US" sz="1200" baseline="0"/>
              <a:t>6</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PreIndGraph!$A$14</c:f>
              <c:strCache>
                <c:ptCount val="1"/>
                <c:pt idx="0">
                  <c:v>Metalska industrija</c:v>
                </c:pt>
              </c:strCache>
            </c:strRef>
          </c:tx>
          <c:spPr>
            <a:solidFill>
              <a:schemeClr val="accent1"/>
            </a:solidFill>
            <a:ln>
              <a:noFill/>
            </a:ln>
            <a:effectLst/>
          </c:spPr>
          <c:invertIfNegative val="0"/>
          <c:cat>
            <c:numRef>
              <c:f>PreIndGraph!$B$1:$F$1</c:f>
              <c:numCache>
                <c:formatCode>General</c:formatCode>
                <c:ptCount val="5"/>
                <c:pt idx="0">
                  <c:v>2012</c:v>
                </c:pt>
                <c:pt idx="1">
                  <c:v>2013</c:v>
                </c:pt>
                <c:pt idx="2">
                  <c:v>2014</c:v>
                </c:pt>
                <c:pt idx="3">
                  <c:v>2015</c:v>
                </c:pt>
                <c:pt idx="4">
                  <c:v>2016</c:v>
                </c:pt>
              </c:numCache>
            </c:numRef>
          </c:cat>
          <c:val>
            <c:numRef>
              <c:f>PreIndGraph!$B$14:$F$14</c:f>
              <c:numCache>
                <c:formatCode>#,##0.00</c:formatCode>
                <c:ptCount val="5"/>
                <c:pt idx="0">
                  <c:v>62988040</c:v>
                </c:pt>
                <c:pt idx="1">
                  <c:v>67967032</c:v>
                </c:pt>
                <c:pt idx="2">
                  <c:v>95483550</c:v>
                </c:pt>
                <c:pt idx="3">
                  <c:v>78136377</c:v>
                </c:pt>
                <c:pt idx="4">
                  <c:v>87404505</c:v>
                </c:pt>
              </c:numCache>
            </c:numRef>
          </c:val>
          <c:extLst>
            <c:ext xmlns:c16="http://schemas.microsoft.com/office/drawing/2014/chart" uri="{C3380CC4-5D6E-409C-BE32-E72D297353CC}">
              <c16:uniqueId val="{00000000-570E-46C3-AE17-7DA7EB396939}"/>
            </c:ext>
          </c:extLst>
        </c:ser>
        <c:ser>
          <c:idx val="1"/>
          <c:order val="1"/>
          <c:tx>
            <c:strRef>
              <c:f>PreIndGraph!$A$15</c:f>
              <c:strCache>
                <c:ptCount val="1"/>
                <c:pt idx="0">
                  <c:v>Hrana i piće</c:v>
                </c:pt>
              </c:strCache>
            </c:strRef>
          </c:tx>
          <c:spPr>
            <a:solidFill>
              <a:schemeClr val="accent2"/>
            </a:solidFill>
            <a:ln>
              <a:noFill/>
            </a:ln>
            <a:effectLst/>
          </c:spPr>
          <c:invertIfNegative val="0"/>
          <c:cat>
            <c:numRef>
              <c:f>PreIndGraph!$B$1:$F$1</c:f>
              <c:numCache>
                <c:formatCode>General</c:formatCode>
                <c:ptCount val="5"/>
                <c:pt idx="0">
                  <c:v>2012</c:v>
                </c:pt>
                <c:pt idx="1">
                  <c:v>2013</c:v>
                </c:pt>
                <c:pt idx="2">
                  <c:v>2014</c:v>
                </c:pt>
                <c:pt idx="3">
                  <c:v>2015</c:v>
                </c:pt>
                <c:pt idx="4">
                  <c:v>2016</c:v>
                </c:pt>
              </c:numCache>
            </c:numRef>
          </c:cat>
          <c:val>
            <c:numRef>
              <c:f>PreIndGraph!$B$15:$F$15</c:f>
              <c:numCache>
                <c:formatCode>#,##0.00</c:formatCode>
                <c:ptCount val="5"/>
                <c:pt idx="0">
                  <c:v>31065733</c:v>
                </c:pt>
                <c:pt idx="1">
                  <c:v>32851078</c:v>
                </c:pt>
                <c:pt idx="2">
                  <c:v>35891734</c:v>
                </c:pt>
                <c:pt idx="3">
                  <c:v>42401262</c:v>
                </c:pt>
                <c:pt idx="4">
                  <c:v>43296566</c:v>
                </c:pt>
              </c:numCache>
            </c:numRef>
          </c:val>
          <c:extLst>
            <c:ext xmlns:c16="http://schemas.microsoft.com/office/drawing/2014/chart" uri="{C3380CC4-5D6E-409C-BE32-E72D297353CC}">
              <c16:uniqueId val="{00000001-570E-46C3-AE17-7DA7EB396939}"/>
            </c:ext>
          </c:extLst>
        </c:ser>
        <c:ser>
          <c:idx val="2"/>
          <c:order val="2"/>
          <c:tx>
            <c:strRef>
              <c:f>PreIndGraph!$A$16</c:f>
              <c:strCache>
                <c:ptCount val="1"/>
                <c:pt idx="0">
                  <c:v>Koža i obuća</c:v>
                </c:pt>
              </c:strCache>
            </c:strRef>
          </c:tx>
          <c:spPr>
            <a:solidFill>
              <a:schemeClr val="accent3"/>
            </a:solidFill>
            <a:ln>
              <a:noFill/>
            </a:ln>
            <a:effectLst/>
          </c:spPr>
          <c:invertIfNegative val="0"/>
          <c:cat>
            <c:numRef>
              <c:f>PreIndGraph!$B$1:$F$1</c:f>
              <c:numCache>
                <c:formatCode>General</c:formatCode>
                <c:ptCount val="5"/>
                <c:pt idx="0">
                  <c:v>2012</c:v>
                </c:pt>
                <c:pt idx="1">
                  <c:v>2013</c:v>
                </c:pt>
                <c:pt idx="2">
                  <c:v>2014</c:v>
                </c:pt>
                <c:pt idx="3">
                  <c:v>2015</c:v>
                </c:pt>
                <c:pt idx="4">
                  <c:v>2016</c:v>
                </c:pt>
              </c:numCache>
            </c:numRef>
          </c:cat>
          <c:val>
            <c:numRef>
              <c:f>PreIndGraph!$B$16:$F$16</c:f>
              <c:numCache>
                <c:formatCode>#,##0.00</c:formatCode>
                <c:ptCount val="5"/>
                <c:pt idx="0">
                  <c:v>16785285</c:v>
                </c:pt>
                <c:pt idx="1">
                  <c:v>18089573</c:v>
                </c:pt>
                <c:pt idx="2">
                  <c:v>15575338</c:v>
                </c:pt>
                <c:pt idx="3">
                  <c:v>12783216</c:v>
                </c:pt>
                <c:pt idx="4">
                  <c:v>13014934</c:v>
                </c:pt>
              </c:numCache>
            </c:numRef>
          </c:val>
          <c:extLst>
            <c:ext xmlns:c16="http://schemas.microsoft.com/office/drawing/2014/chart" uri="{C3380CC4-5D6E-409C-BE32-E72D297353CC}">
              <c16:uniqueId val="{00000002-570E-46C3-AE17-7DA7EB396939}"/>
            </c:ext>
          </c:extLst>
        </c:ser>
        <c:ser>
          <c:idx val="3"/>
          <c:order val="3"/>
          <c:tx>
            <c:strRef>
              <c:f>PreIndGraph!$A$17</c:f>
              <c:strCache>
                <c:ptCount val="1"/>
                <c:pt idx="0">
                  <c:v>Drvo i namještaj</c:v>
                </c:pt>
              </c:strCache>
            </c:strRef>
          </c:tx>
          <c:spPr>
            <a:solidFill>
              <a:schemeClr val="accent4"/>
            </a:solidFill>
            <a:ln>
              <a:noFill/>
            </a:ln>
            <a:effectLst/>
          </c:spPr>
          <c:invertIfNegative val="0"/>
          <c:cat>
            <c:numRef>
              <c:f>PreIndGraph!$B$1:$F$1</c:f>
              <c:numCache>
                <c:formatCode>General</c:formatCode>
                <c:ptCount val="5"/>
                <c:pt idx="0">
                  <c:v>2012</c:v>
                </c:pt>
                <c:pt idx="1">
                  <c:v>2013</c:v>
                </c:pt>
                <c:pt idx="2">
                  <c:v>2014</c:v>
                </c:pt>
                <c:pt idx="3">
                  <c:v>2015</c:v>
                </c:pt>
                <c:pt idx="4">
                  <c:v>2016</c:v>
                </c:pt>
              </c:numCache>
            </c:numRef>
          </c:cat>
          <c:val>
            <c:numRef>
              <c:f>PreIndGraph!$B$17:$F$17</c:f>
              <c:numCache>
                <c:formatCode>#,##0.00</c:formatCode>
                <c:ptCount val="5"/>
                <c:pt idx="0">
                  <c:v>1438826</c:v>
                </c:pt>
                <c:pt idx="1">
                  <c:v>1517135</c:v>
                </c:pt>
                <c:pt idx="2">
                  <c:v>1744080</c:v>
                </c:pt>
                <c:pt idx="3">
                  <c:v>44559746</c:v>
                </c:pt>
                <c:pt idx="4">
                  <c:v>52722468</c:v>
                </c:pt>
              </c:numCache>
            </c:numRef>
          </c:val>
          <c:extLst>
            <c:ext xmlns:c16="http://schemas.microsoft.com/office/drawing/2014/chart" uri="{C3380CC4-5D6E-409C-BE32-E72D297353CC}">
              <c16:uniqueId val="{00000003-570E-46C3-AE17-7DA7EB396939}"/>
            </c:ext>
          </c:extLst>
        </c:ser>
        <c:ser>
          <c:idx val="4"/>
          <c:order val="4"/>
          <c:tx>
            <c:strRef>
              <c:f>PreIndGraph!$A$18</c:f>
              <c:strCache>
                <c:ptCount val="1"/>
                <c:pt idx="0">
                  <c:v>Ostalo</c:v>
                </c:pt>
              </c:strCache>
            </c:strRef>
          </c:tx>
          <c:spPr>
            <a:solidFill>
              <a:schemeClr val="accent5"/>
            </a:solidFill>
            <a:ln>
              <a:noFill/>
            </a:ln>
            <a:effectLst/>
          </c:spPr>
          <c:invertIfNegative val="0"/>
          <c:cat>
            <c:numRef>
              <c:f>PreIndGraph!$B$1:$F$1</c:f>
              <c:numCache>
                <c:formatCode>General</c:formatCode>
                <c:ptCount val="5"/>
                <c:pt idx="0">
                  <c:v>2012</c:v>
                </c:pt>
                <c:pt idx="1">
                  <c:v>2013</c:v>
                </c:pt>
                <c:pt idx="2">
                  <c:v>2014</c:v>
                </c:pt>
                <c:pt idx="3">
                  <c:v>2015</c:v>
                </c:pt>
                <c:pt idx="4">
                  <c:v>2016</c:v>
                </c:pt>
              </c:numCache>
            </c:numRef>
          </c:cat>
          <c:val>
            <c:numRef>
              <c:f>PreIndGraph!$B$18:$F$18</c:f>
              <c:numCache>
                <c:formatCode>#,##0.00</c:formatCode>
                <c:ptCount val="5"/>
                <c:pt idx="0">
                  <c:v>30959136</c:v>
                </c:pt>
                <c:pt idx="1">
                  <c:v>33083982</c:v>
                </c:pt>
                <c:pt idx="2">
                  <c:v>2877653</c:v>
                </c:pt>
                <c:pt idx="3">
                  <c:v>7018963</c:v>
                </c:pt>
                <c:pt idx="4">
                  <c:v>8256554</c:v>
                </c:pt>
              </c:numCache>
            </c:numRef>
          </c:val>
          <c:extLst>
            <c:ext xmlns:c16="http://schemas.microsoft.com/office/drawing/2014/chart" uri="{C3380CC4-5D6E-409C-BE32-E72D297353CC}">
              <c16:uniqueId val="{00000004-570E-46C3-AE17-7DA7EB396939}"/>
            </c:ext>
          </c:extLst>
        </c:ser>
        <c:dLbls>
          <c:showLegendKey val="0"/>
          <c:showVal val="0"/>
          <c:showCatName val="0"/>
          <c:showSerName val="0"/>
          <c:showPercent val="0"/>
          <c:showBubbleSize val="0"/>
        </c:dLbls>
        <c:gapWidth val="219"/>
        <c:overlap val="-27"/>
        <c:axId val="754942224"/>
        <c:axId val="747361024"/>
      </c:barChart>
      <c:catAx>
        <c:axId val="75494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7361024"/>
        <c:crosses val="autoZero"/>
        <c:auto val="1"/>
        <c:lblAlgn val="ctr"/>
        <c:lblOffset val="100"/>
        <c:noMultiLvlLbl val="0"/>
      </c:catAx>
      <c:valAx>
        <c:axId val="747361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494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BA" sz="1200"/>
              <a:t>Prihodi od izvoza prema područjima,</a:t>
            </a:r>
            <a:r>
              <a:rPr lang="sr-Latn-BA" sz="1200" baseline="0"/>
              <a:t> 2012 - 201</a:t>
            </a:r>
            <a:r>
              <a:rPr lang="en-US" sz="1200" baseline="0"/>
              <a:t>6</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izvoz!$A$49</c:f>
              <c:strCache>
                <c:ptCount val="1"/>
                <c:pt idx="0">
                  <c:v>Prerađivačka industrija</c:v>
                </c:pt>
              </c:strCache>
            </c:strRef>
          </c:tx>
          <c:spPr>
            <a:solidFill>
              <a:schemeClr val="accent1"/>
            </a:solidFill>
            <a:ln>
              <a:noFill/>
            </a:ln>
            <a:effectLst/>
          </c:spPr>
          <c:invertIfNegative val="0"/>
          <c:cat>
            <c:numRef>
              <c:f>izvoz!$B$41:$F$41</c:f>
              <c:numCache>
                <c:formatCode>General</c:formatCode>
                <c:ptCount val="5"/>
                <c:pt idx="0">
                  <c:v>2012</c:v>
                </c:pt>
                <c:pt idx="1">
                  <c:v>2013</c:v>
                </c:pt>
                <c:pt idx="2">
                  <c:v>2014</c:v>
                </c:pt>
                <c:pt idx="3">
                  <c:v>2015</c:v>
                </c:pt>
                <c:pt idx="4">
                  <c:v>2016</c:v>
                </c:pt>
              </c:numCache>
            </c:numRef>
          </c:cat>
          <c:val>
            <c:numRef>
              <c:f>izvoz!$B$49:$F$49</c:f>
              <c:numCache>
                <c:formatCode>General</c:formatCode>
                <c:ptCount val="5"/>
                <c:pt idx="0">
                  <c:v>61225677</c:v>
                </c:pt>
                <c:pt idx="1">
                  <c:v>76395440</c:v>
                </c:pt>
                <c:pt idx="2">
                  <c:v>79635969</c:v>
                </c:pt>
                <c:pt idx="3">
                  <c:v>91565295</c:v>
                </c:pt>
                <c:pt idx="4">
                  <c:v>104595047</c:v>
                </c:pt>
              </c:numCache>
            </c:numRef>
          </c:val>
          <c:extLst>
            <c:ext xmlns:c16="http://schemas.microsoft.com/office/drawing/2014/chart" uri="{C3380CC4-5D6E-409C-BE32-E72D297353CC}">
              <c16:uniqueId val="{00000000-B016-44EA-9612-227808BABF36}"/>
            </c:ext>
          </c:extLst>
        </c:ser>
        <c:ser>
          <c:idx val="1"/>
          <c:order val="1"/>
          <c:tx>
            <c:strRef>
              <c:f>izvoz!$A$50</c:f>
              <c:strCache>
                <c:ptCount val="1"/>
                <c:pt idx="0">
                  <c:v>Trgovina na veliko i malo, popravak motornih vozila i motocikala</c:v>
                </c:pt>
              </c:strCache>
            </c:strRef>
          </c:tx>
          <c:spPr>
            <a:solidFill>
              <a:schemeClr val="accent2"/>
            </a:solidFill>
            <a:ln>
              <a:noFill/>
            </a:ln>
            <a:effectLst/>
          </c:spPr>
          <c:invertIfNegative val="0"/>
          <c:cat>
            <c:numRef>
              <c:f>izvoz!$B$41:$F$41</c:f>
              <c:numCache>
                <c:formatCode>General</c:formatCode>
                <c:ptCount val="5"/>
                <c:pt idx="0">
                  <c:v>2012</c:v>
                </c:pt>
                <c:pt idx="1">
                  <c:v>2013</c:v>
                </c:pt>
                <c:pt idx="2">
                  <c:v>2014</c:v>
                </c:pt>
                <c:pt idx="3">
                  <c:v>2015</c:v>
                </c:pt>
                <c:pt idx="4">
                  <c:v>2016</c:v>
                </c:pt>
              </c:numCache>
            </c:numRef>
          </c:cat>
          <c:val>
            <c:numRef>
              <c:f>izvoz!$B$50:$F$50</c:f>
              <c:numCache>
                <c:formatCode>General</c:formatCode>
                <c:ptCount val="5"/>
                <c:pt idx="0">
                  <c:v>71556344</c:v>
                </c:pt>
                <c:pt idx="1">
                  <c:v>74417359</c:v>
                </c:pt>
                <c:pt idx="2">
                  <c:v>83645279</c:v>
                </c:pt>
                <c:pt idx="3">
                  <c:v>90012973</c:v>
                </c:pt>
                <c:pt idx="4">
                  <c:v>78802210</c:v>
                </c:pt>
              </c:numCache>
            </c:numRef>
          </c:val>
          <c:extLst>
            <c:ext xmlns:c16="http://schemas.microsoft.com/office/drawing/2014/chart" uri="{C3380CC4-5D6E-409C-BE32-E72D297353CC}">
              <c16:uniqueId val="{00000001-B016-44EA-9612-227808BABF36}"/>
            </c:ext>
          </c:extLst>
        </c:ser>
        <c:ser>
          <c:idx val="2"/>
          <c:order val="2"/>
          <c:tx>
            <c:strRef>
              <c:f>izvoz!$A$51</c:f>
              <c:strCache>
                <c:ptCount val="1"/>
                <c:pt idx="0">
                  <c:v>Ostalo</c:v>
                </c:pt>
              </c:strCache>
            </c:strRef>
          </c:tx>
          <c:spPr>
            <a:solidFill>
              <a:schemeClr val="accent3"/>
            </a:solidFill>
            <a:ln>
              <a:noFill/>
            </a:ln>
            <a:effectLst/>
          </c:spPr>
          <c:invertIfNegative val="0"/>
          <c:cat>
            <c:numRef>
              <c:f>izvoz!$B$41:$F$41</c:f>
              <c:numCache>
                <c:formatCode>General</c:formatCode>
                <c:ptCount val="5"/>
                <c:pt idx="0">
                  <c:v>2012</c:v>
                </c:pt>
                <c:pt idx="1">
                  <c:v>2013</c:v>
                </c:pt>
                <c:pt idx="2">
                  <c:v>2014</c:v>
                </c:pt>
                <c:pt idx="3">
                  <c:v>2015</c:v>
                </c:pt>
                <c:pt idx="4">
                  <c:v>2016</c:v>
                </c:pt>
              </c:numCache>
            </c:numRef>
          </c:cat>
          <c:val>
            <c:numRef>
              <c:f>izvoz!$B$51:$F$51</c:f>
              <c:numCache>
                <c:formatCode>General</c:formatCode>
                <c:ptCount val="5"/>
                <c:pt idx="0">
                  <c:v>4520382</c:v>
                </c:pt>
                <c:pt idx="1">
                  <c:v>4965026</c:v>
                </c:pt>
                <c:pt idx="2">
                  <c:v>4232603</c:v>
                </c:pt>
                <c:pt idx="3">
                  <c:v>3684580</c:v>
                </c:pt>
                <c:pt idx="4">
                  <c:v>4367139</c:v>
                </c:pt>
              </c:numCache>
            </c:numRef>
          </c:val>
          <c:extLst>
            <c:ext xmlns:c16="http://schemas.microsoft.com/office/drawing/2014/chart" uri="{C3380CC4-5D6E-409C-BE32-E72D297353CC}">
              <c16:uniqueId val="{00000002-B016-44EA-9612-227808BABF36}"/>
            </c:ext>
          </c:extLst>
        </c:ser>
        <c:dLbls>
          <c:showLegendKey val="0"/>
          <c:showVal val="0"/>
          <c:showCatName val="0"/>
          <c:showSerName val="0"/>
          <c:showPercent val="0"/>
          <c:showBubbleSize val="0"/>
        </c:dLbls>
        <c:gapWidth val="219"/>
        <c:overlap val="-27"/>
        <c:axId val="1799243248"/>
        <c:axId val="1877990336"/>
      </c:barChart>
      <c:catAx>
        <c:axId val="179924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7990336"/>
        <c:crosses val="autoZero"/>
        <c:auto val="1"/>
        <c:lblAlgn val="ctr"/>
        <c:lblOffset val="100"/>
        <c:noMultiLvlLbl val="0"/>
      </c:catAx>
      <c:valAx>
        <c:axId val="187799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924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BA" sz="1200"/>
              <a:t>Prihod od izvoza preduzeća u prerađivačkoj industriji, 2012-201</a:t>
            </a:r>
            <a:r>
              <a:rPr lang="en-US" sz="1200"/>
              <a:t>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PreIndGraph!$A$37</c:f>
              <c:strCache>
                <c:ptCount val="1"/>
                <c:pt idx="0">
                  <c:v>Metalska industrija</c:v>
                </c:pt>
              </c:strCache>
            </c:strRef>
          </c:tx>
          <c:spPr>
            <a:solidFill>
              <a:schemeClr val="accent1"/>
            </a:solidFill>
            <a:ln>
              <a:noFill/>
            </a:ln>
            <a:effectLst/>
          </c:spPr>
          <c:invertIfNegative val="0"/>
          <c:cat>
            <c:numRef>
              <c:f>PreIndGraph!$B$24:$F$24</c:f>
              <c:numCache>
                <c:formatCode>General</c:formatCode>
                <c:ptCount val="5"/>
                <c:pt idx="0">
                  <c:v>2012</c:v>
                </c:pt>
                <c:pt idx="1">
                  <c:v>2013</c:v>
                </c:pt>
                <c:pt idx="2">
                  <c:v>2014</c:v>
                </c:pt>
                <c:pt idx="3">
                  <c:v>2015</c:v>
                </c:pt>
                <c:pt idx="4">
                  <c:v>2016</c:v>
                </c:pt>
              </c:numCache>
            </c:numRef>
          </c:cat>
          <c:val>
            <c:numRef>
              <c:f>PreIndGraph!$B$37:$F$37</c:f>
              <c:numCache>
                <c:formatCode>#,##0.00</c:formatCode>
                <c:ptCount val="5"/>
                <c:pt idx="0">
                  <c:v>26376813</c:v>
                </c:pt>
                <c:pt idx="1">
                  <c:v>34756610</c:v>
                </c:pt>
                <c:pt idx="2">
                  <c:v>59124269</c:v>
                </c:pt>
                <c:pt idx="3">
                  <c:v>26023252</c:v>
                </c:pt>
                <c:pt idx="4">
                  <c:v>33150897</c:v>
                </c:pt>
              </c:numCache>
            </c:numRef>
          </c:val>
          <c:extLst>
            <c:ext xmlns:c16="http://schemas.microsoft.com/office/drawing/2014/chart" uri="{C3380CC4-5D6E-409C-BE32-E72D297353CC}">
              <c16:uniqueId val="{00000000-E7F3-4430-9241-4BEEC540220C}"/>
            </c:ext>
          </c:extLst>
        </c:ser>
        <c:ser>
          <c:idx val="1"/>
          <c:order val="1"/>
          <c:tx>
            <c:strRef>
              <c:f>PreIndGraph!$A$38</c:f>
              <c:strCache>
                <c:ptCount val="1"/>
                <c:pt idx="0">
                  <c:v>Koža i obuća</c:v>
                </c:pt>
              </c:strCache>
            </c:strRef>
          </c:tx>
          <c:spPr>
            <a:solidFill>
              <a:schemeClr val="accent2"/>
            </a:solidFill>
            <a:ln>
              <a:noFill/>
            </a:ln>
            <a:effectLst/>
          </c:spPr>
          <c:invertIfNegative val="0"/>
          <c:cat>
            <c:numRef>
              <c:f>PreIndGraph!$B$24:$F$24</c:f>
              <c:numCache>
                <c:formatCode>General</c:formatCode>
                <c:ptCount val="5"/>
                <c:pt idx="0">
                  <c:v>2012</c:v>
                </c:pt>
                <c:pt idx="1">
                  <c:v>2013</c:v>
                </c:pt>
                <c:pt idx="2">
                  <c:v>2014</c:v>
                </c:pt>
                <c:pt idx="3">
                  <c:v>2015</c:v>
                </c:pt>
                <c:pt idx="4">
                  <c:v>2016</c:v>
                </c:pt>
              </c:numCache>
            </c:numRef>
          </c:cat>
          <c:val>
            <c:numRef>
              <c:f>PreIndGraph!$B$38:$F$38</c:f>
              <c:numCache>
                <c:formatCode>#,##0.00</c:formatCode>
                <c:ptCount val="5"/>
                <c:pt idx="0">
                  <c:v>12715922</c:v>
                </c:pt>
                <c:pt idx="1">
                  <c:v>15498066</c:v>
                </c:pt>
                <c:pt idx="2">
                  <c:v>14893349</c:v>
                </c:pt>
                <c:pt idx="3">
                  <c:v>11608144</c:v>
                </c:pt>
                <c:pt idx="4">
                  <c:v>11905213</c:v>
                </c:pt>
              </c:numCache>
            </c:numRef>
          </c:val>
          <c:extLst>
            <c:ext xmlns:c16="http://schemas.microsoft.com/office/drawing/2014/chart" uri="{C3380CC4-5D6E-409C-BE32-E72D297353CC}">
              <c16:uniqueId val="{00000001-E7F3-4430-9241-4BEEC540220C}"/>
            </c:ext>
          </c:extLst>
        </c:ser>
        <c:ser>
          <c:idx val="2"/>
          <c:order val="2"/>
          <c:tx>
            <c:strRef>
              <c:f>PreIndGraph!$A$39</c:f>
              <c:strCache>
                <c:ptCount val="1"/>
                <c:pt idx="0">
                  <c:v>Drvo i namještaj</c:v>
                </c:pt>
              </c:strCache>
            </c:strRef>
          </c:tx>
          <c:spPr>
            <a:solidFill>
              <a:schemeClr val="accent3"/>
            </a:solidFill>
            <a:ln>
              <a:noFill/>
            </a:ln>
            <a:effectLst/>
          </c:spPr>
          <c:invertIfNegative val="0"/>
          <c:cat>
            <c:numRef>
              <c:f>PreIndGraph!$B$24:$F$24</c:f>
              <c:numCache>
                <c:formatCode>General</c:formatCode>
                <c:ptCount val="5"/>
                <c:pt idx="0">
                  <c:v>2012</c:v>
                </c:pt>
                <c:pt idx="1">
                  <c:v>2013</c:v>
                </c:pt>
                <c:pt idx="2">
                  <c:v>2014</c:v>
                </c:pt>
                <c:pt idx="3">
                  <c:v>2015</c:v>
                </c:pt>
                <c:pt idx="4">
                  <c:v>2016</c:v>
                </c:pt>
              </c:numCache>
            </c:numRef>
          </c:cat>
          <c:val>
            <c:numRef>
              <c:f>PreIndGraph!$B$39:$F$39</c:f>
              <c:numCache>
                <c:formatCode>#,##0.00</c:formatCode>
                <c:ptCount val="5"/>
                <c:pt idx="0">
                  <c:v>795294</c:v>
                </c:pt>
                <c:pt idx="1">
                  <c:v>548595</c:v>
                </c:pt>
                <c:pt idx="2">
                  <c:v>1094600</c:v>
                </c:pt>
                <c:pt idx="3">
                  <c:v>43208120</c:v>
                </c:pt>
                <c:pt idx="4">
                  <c:v>50254627</c:v>
                </c:pt>
              </c:numCache>
            </c:numRef>
          </c:val>
          <c:extLst>
            <c:ext xmlns:c16="http://schemas.microsoft.com/office/drawing/2014/chart" uri="{C3380CC4-5D6E-409C-BE32-E72D297353CC}">
              <c16:uniqueId val="{00000002-E7F3-4430-9241-4BEEC540220C}"/>
            </c:ext>
          </c:extLst>
        </c:ser>
        <c:ser>
          <c:idx val="3"/>
          <c:order val="3"/>
          <c:tx>
            <c:strRef>
              <c:f>PreIndGraph!$A$40</c:f>
              <c:strCache>
                <c:ptCount val="1"/>
                <c:pt idx="0">
                  <c:v>Hrana i piće</c:v>
                </c:pt>
              </c:strCache>
            </c:strRef>
          </c:tx>
          <c:spPr>
            <a:solidFill>
              <a:schemeClr val="accent4"/>
            </a:solidFill>
            <a:ln>
              <a:noFill/>
            </a:ln>
            <a:effectLst/>
          </c:spPr>
          <c:invertIfNegative val="0"/>
          <c:cat>
            <c:numRef>
              <c:f>PreIndGraph!$B$24:$F$24</c:f>
              <c:numCache>
                <c:formatCode>General</c:formatCode>
                <c:ptCount val="5"/>
                <c:pt idx="0">
                  <c:v>2012</c:v>
                </c:pt>
                <c:pt idx="1">
                  <c:v>2013</c:v>
                </c:pt>
                <c:pt idx="2">
                  <c:v>2014</c:v>
                </c:pt>
                <c:pt idx="3">
                  <c:v>2015</c:v>
                </c:pt>
                <c:pt idx="4">
                  <c:v>2016</c:v>
                </c:pt>
              </c:numCache>
            </c:numRef>
          </c:cat>
          <c:val>
            <c:numRef>
              <c:f>PreIndGraph!$B$40:$F$40</c:f>
              <c:numCache>
                <c:formatCode>#,##0.00</c:formatCode>
                <c:ptCount val="5"/>
                <c:pt idx="0">
                  <c:v>4274952</c:v>
                </c:pt>
                <c:pt idx="1">
                  <c:v>4961418</c:v>
                </c:pt>
                <c:pt idx="2">
                  <c:v>4489807</c:v>
                </c:pt>
                <c:pt idx="3">
                  <c:v>8800993</c:v>
                </c:pt>
                <c:pt idx="4">
                  <c:v>7659935</c:v>
                </c:pt>
              </c:numCache>
            </c:numRef>
          </c:val>
          <c:extLst>
            <c:ext xmlns:c16="http://schemas.microsoft.com/office/drawing/2014/chart" uri="{C3380CC4-5D6E-409C-BE32-E72D297353CC}">
              <c16:uniqueId val="{00000003-E7F3-4430-9241-4BEEC540220C}"/>
            </c:ext>
          </c:extLst>
        </c:ser>
        <c:ser>
          <c:idx val="4"/>
          <c:order val="4"/>
          <c:tx>
            <c:strRef>
              <c:f>PreIndGraph!$A$41</c:f>
              <c:strCache>
                <c:ptCount val="1"/>
                <c:pt idx="0">
                  <c:v>Ostalo</c:v>
                </c:pt>
              </c:strCache>
            </c:strRef>
          </c:tx>
          <c:spPr>
            <a:solidFill>
              <a:schemeClr val="accent5"/>
            </a:solidFill>
            <a:ln>
              <a:noFill/>
            </a:ln>
            <a:effectLst/>
          </c:spPr>
          <c:invertIfNegative val="0"/>
          <c:cat>
            <c:numRef>
              <c:f>PreIndGraph!$B$24:$F$24</c:f>
              <c:numCache>
                <c:formatCode>General</c:formatCode>
                <c:ptCount val="5"/>
                <c:pt idx="0">
                  <c:v>2012</c:v>
                </c:pt>
                <c:pt idx="1">
                  <c:v>2013</c:v>
                </c:pt>
                <c:pt idx="2">
                  <c:v>2014</c:v>
                </c:pt>
                <c:pt idx="3">
                  <c:v>2015</c:v>
                </c:pt>
                <c:pt idx="4">
                  <c:v>2016</c:v>
                </c:pt>
              </c:numCache>
            </c:numRef>
          </c:cat>
          <c:val>
            <c:numRef>
              <c:f>PreIndGraph!$B$41:$F$41</c:f>
              <c:numCache>
                <c:formatCode>#,##0.00</c:formatCode>
                <c:ptCount val="5"/>
                <c:pt idx="0">
                  <c:v>17062696</c:v>
                </c:pt>
                <c:pt idx="1">
                  <c:v>20630751</c:v>
                </c:pt>
                <c:pt idx="2">
                  <c:v>33944</c:v>
                </c:pt>
                <c:pt idx="3">
                  <c:v>1924786</c:v>
                </c:pt>
                <c:pt idx="4">
                  <c:v>1624375</c:v>
                </c:pt>
              </c:numCache>
            </c:numRef>
          </c:val>
          <c:extLst>
            <c:ext xmlns:c16="http://schemas.microsoft.com/office/drawing/2014/chart" uri="{C3380CC4-5D6E-409C-BE32-E72D297353CC}">
              <c16:uniqueId val="{00000004-E7F3-4430-9241-4BEEC540220C}"/>
            </c:ext>
          </c:extLst>
        </c:ser>
        <c:dLbls>
          <c:showLegendKey val="0"/>
          <c:showVal val="0"/>
          <c:showCatName val="0"/>
          <c:showSerName val="0"/>
          <c:showPercent val="0"/>
          <c:showBubbleSize val="0"/>
        </c:dLbls>
        <c:gapWidth val="219"/>
        <c:overlap val="-27"/>
        <c:axId val="756488032"/>
        <c:axId val="755664944"/>
      </c:barChart>
      <c:catAx>
        <c:axId val="75648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664944"/>
        <c:crosses val="autoZero"/>
        <c:auto val="1"/>
        <c:lblAlgn val="ctr"/>
        <c:lblOffset val="100"/>
        <c:noMultiLvlLbl val="0"/>
      </c:catAx>
      <c:valAx>
        <c:axId val="755664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48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BA" sz="1200" b="0"/>
              <a:t>Prihodi od izvoza u prerađivačkoj industriji, 201</a:t>
            </a:r>
            <a:r>
              <a:rPr lang="en-US" sz="1200" b="0"/>
              <a:t>6</a:t>
            </a:r>
          </a:p>
        </c:rich>
      </c:tx>
      <c:layout>
        <c:manualLayout>
          <c:xMode val="edge"/>
          <c:yMode val="edge"/>
          <c:x val="0.16800000000000001"/>
          <c:y val="4.629629629629629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00D-4F16-9A3F-A116AF9D8B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00D-4F16-9A3F-A116AF9D8B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00D-4F16-9A3F-A116AF9D8BF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00D-4F16-9A3F-A116AF9D8BF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00D-4F16-9A3F-A116AF9D8BF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00D-4F16-9A3F-A116AF9D8BF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00D-4F16-9A3F-A116AF9D8BF7}"/>
              </c:ext>
            </c:extLst>
          </c:dPt>
          <c:dLbls>
            <c:dLbl>
              <c:idx val="0"/>
              <c:layout>
                <c:manualLayout>
                  <c:x val="0.25833333333333336"/>
                  <c:y val="0.3009259259259259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00D-4F16-9A3F-A116AF9D8BF7}"/>
                </c:ext>
              </c:extLst>
            </c:dLbl>
            <c:dLbl>
              <c:idx val="1"/>
              <c:layout>
                <c:manualLayout>
                  <c:x val="0.10277777777777777"/>
                  <c:y val="0.3333333333333333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00D-4F16-9A3F-A116AF9D8BF7}"/>
                </c:ext>
              </c:extLst>
            </c:dLbl>
            <c:dLbl>
              <c:idx val="2"/>
              <c:layout>
                <c:manualLayout>
                  <c:x val="0.17777777777777767"/>
                  <c:y val="-4.166666666666683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00D-4F16-9A3F-A116AF9D8BF7}"/>
                </c:ext>
              </c:extLst>
            </c:dLbl>
            <c:dLbl>
              <c:idx val="3"/>
              <c:layout>
                <c:manualLayout>
                  <c:x val="-0.16666666666666666"/>
                  <c:y val="0.4537037037037037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00D-4F16-9A3F-A116AF9D8BF7}"/>
                </c:ext>
              </c:extLst>
            </c:dLbl>
            <c:dLbl>
              <c:idx val="4"/>
              <c:layout>
                <c:manualLayout>
                  <c:x val="-0.3611111111111111"/>
                  <c:y val="0.2037037037037036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00D-4F16-9A3F-A116AF9D8BF7}"/>
                </c:ext>
              </c:extLst>
            </c:dLbl>
            <c:dLbl>
              <c:idx val="5"/>
              <c:layout>
                <c:manualLayout>
                  <c:x val="0.34166666666666679"/>
                  <c:y val="0.1064814814814814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00D-4F16-9A3F-A116AF9D8BF7}"/>
                </c:ext>
              </c:extLst>
            </c:dLbl>
            <c:dLbl>
              <c:idx val="6"/>
              <c:layout>
                <c:manualLayout>
                  <c:x val="-0.125"/>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00D-4F16-9A3F-A116AF9D8BF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'Pre Ind'!$J$36:$J$42</c:f>
              <c:strCache>
                <c:ptCount val="7"/>
                <c:pt idx="0">
                  <c:v>Hrana i piće</c:v>
                </c:pt>
                <c:pt idx="1">
                  <c:v>Koža i obuća</c:v>
                </c:pt>
                <c:pt idx="2">
                  <c:v>Drvo i namještaj</c:v>
                </c:pt>
                <c:pt idx="3">
                  <c:v>Metalska industrija</c:v>
                </c:pt>
                <c:pt idx="4">
                  <c:v>Guma i plastika</c:v>
                </c:pt>
                <c:pt idx="5">
                  <c:v>Ostala prerađivačka industrija</c:v>
                </c:pt>
                <c:pt idx="6">
                  <c:v>IKT</c:v>
                </c:pt>
              </c:strCache>
            </c:strRef>
          </c:cat>
          <c:val>
            <c:numRef>
              <c:f>'Pre Ind'!$K$36:$K$42</c:f>
              <c:numCache>
                <c:formatCode>General</c:formatCode>
                <c:ptCount val="7"/>
                <c:pt idx="0">
                  <c:v>7659935</c:v>
                </c:pt>
                <c:pt idx="1">
                  <c:v>11905213</c:v>
                </c:pt>
                <c:pt idx="2">
                  <c:v>50254627</c:v>
                </c:pt>
                <c:pt idx="3">
                  <c:v>33150897</c:v>
                </c:pt>
                <c:pt idx="4">
                  <c:v>1605811</c:v>
                </c:pt>
                <c:pt idx="5">
                  <c:v>3013</c:v>
                </c:pt>
                <c:pt idx="6">
                  <c:v>15551</c:v>
                </c:pt>
              </c:numCache>
            </c:numRef>
          </c:val>
          <c:extLst>
            <c:ext xmlns:c16="http://schemas.microsoft.com/office/drawing/2014/chart" uri="{C3380CC4-5D6E-409C-BE32-E72D297353CC}">
              <c16:uniqueId val="{0000000E-A00D-4F16-9A3F-A116AF9D8BF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BA" sz="1200"/>
              <a:t>Broj zaposlenih prema područjima,</a:t>
            </a:r>
            <a:r>
              <a:rPr lang="sr-Latn-BA" sz="1200" baseline="0"/>
              <a:t> 2012-2016</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zaposleni!$A$67</c:f>
              <c:strCache>
                <c:ptCount val="1"/>
                <c:pt idx="0">
                  <c:v>Prerađivačka industrija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zaposleni!$B$50:$F$50</c:f>
              <c:numCache>
                <c:formatCode>General</c:formatCode>
                <c:ptCount val="5"/>
                <c:pt idx="0">
                  <c:v>2012</c:v>
                </c:pt>
                <c:pt idx="1">
                  <c:v>2013</c:v>
                </c:pt>
                <c:pt idx="2">
                  <c:v>2014</c:v>
                </c:pt>
                <c:pt idx="3">
                  <c:v>2015</c:v>
                </c:pt>
                <c:pt idx="4">
                  <c:v>2016</c:v>
                </c:pt>
              </c:numCache>
            </c:numRef>
          </c:cat>
          <c:val>
            <c:numRef>
              <c:f>zaposleni!$B$67:$F$67</c:f>
              <c:numCache>
                <c:formatCode>General</c:formatCode>
                <c:ptCount val="5"/>
                <c:pt idx="0">
                  <c:v>1506</c:v>
                </c:pt>
                <c:pt idx="1">
                  <c:v>1537</c:v>
                </c:pt>
                <c:pt idx="2">
                  <c:v>1476</c:v>
                </c:pt>
                <c:pt idx="3">
                  <c:v>1706</c:v>
                </c:pt>
                <c:pt idx="4">
                  <c:v>2110</c:v>
                </c:pt>
              </c:numCache>
            </c:numRef>
          </c:val>
          <c:extLst>
            <c:ext xmlns:c16="http://schemas.microsoft.com/office/drawing/2014/chart" uri="{C3380CC4-5D6E-409C-BE32-E72D297353CC}">
              <c16:uniqueId val="{00000000-4A37-4F3E-B804-DA91172D9F33}"/>
            </c:ext>
          </c:extLst>
        </c:ser>
        <c:ser>
          <c:idx val="1"/>
          <c:order val="1"/>
          <c:tx>
            <c:strRef>
              <c:f>zaposleni!$A$68</c:f>
              <c:strCache>
                <c:ptCount val="1"/>
                <c:pt idx="0">
                  <c:v>Trgovina na veliko i malo, popravak motornih vozila i motocikala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zaposleni!$B$50:$F$50</c:f>
              <c:numCache>
                <c:formatCode>General</c:formatCode>
                <c:ptCount val="5"/>
                <c:pt idx="0">
                  <c:v>2012</c:v>
                </c:pt>
                <c:pt idx="1">
                  <c:v>2013</c:v>
                </c:pt>
                <c:pt idx="2">
                  <c:v>2014</c:v>
                </c:pt>
                <c:pt idx="3">
                  <c:v>2015</c:v>
                </c:pt>
                <c:pt idx="4">
                  <c:v>2016</c:v>
                </c:pt>
              </c:numCache>
            </c:numRef>
          </c:cat>
          <c:val>
            <c:numRef>
              <c:f>zaposleni!$B$68:$F$68</c:f>
              <c:numCache>
                <c:formatCode>General</c:formatCode>
                <c:ptCount val="5"/>
                <c:pt idx="0">
                  <c:v>582</c:v>
                </c:pt>
                <c:pt idx="1">
                  <c:v>620</c:v>
                </c:pt>
                <c:pt idx="2">
                  <c:v>720</c:v>
                </c:pt>
                <c:pt idx="3">
                  <c:v>779</c:v>
                </c:pt>
                <c:pt idx="4">
                  <c:v>831</c:v>
                </c:pt>
              </c:numCache>
            </c:numRef>
          </c:val>
          <c:extLst>
            <c:ext xmlns:c16="http://schemas.microsoft.com/office/drawing/2014/chart" uri="{C3380CC4-5D6E-409C-BE32-E72D297353CC}">
              <c16:uniqueId val="{00000001-4A37-4F3E-B804-DA91172D9F33}"/>
            </c:ext>
          </c:extLst>
        </c:ser>
        <c:ser>
          <c:idx val="2"/>
          <c:order val="2"/>
          <c:tx>
            <c:strRef>
              <c:f>zaposleni!$A$69</c:f>
              <c:strCache>
                <c:ptCount val="1"/>
                <c:pt idx="0">
                  <c:v>Građevinarstvo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zaposleni!$B$50:$F$50</c:f>
              <c:numCache>
                <c:formatCode>General</c:formatCode>
                <c:ptCount val="5"/>
                <c:pt idx="0">
                  <c:v>2012</c:v>
                </c:pt>
                <c:pt idx="1">
                  <c:v>2013</c:v>
                </c:pt>
                <c:pt idx="2">
                  <c:v>2014</c:v>
                </c:pt>
                <c:pt idx="3">
                  <c:v>2015</c:v>
                </c:pt>
                <c:pt idx="4">
                  <c:v>2016</c:v>
                </c:pt>
              </c:numCache>
            </c:numRef>
          </c:cat>
          <c:val>
            <c:numRef>
              <c:f>zaposleni!$B$69:$F$69</c:f>
              <c:numCache>
                <c:formatCode>General</c:formatCode>
                <c:ptCount val="5"/>
                <c:pt idx="0">
                  <c:v>271</c:v>
                </c:pt>
                <c:pt idx="1">
                  <c:v>257</c:v>
                </c:pt>
                <c:pt idx="2">
                  <c:v>231</c:v>
                </c:pt>
                <c:pt idx="3">
                  <c:v>209</c:v>
                </c:pt>
                <c:pt idx="4">
                  <c:v>189</c:v>
                </c:pt>
              </c:numCache>
            </c:numRef>
          </c:val>
          <c:extLst>
            <c:ext xmlns:c16="http://schemas.microsoft.com/office/drawing/2014/chart" uri="{C3380CC4-5D6E-409C-BE32-E72D297353CC}">
              <c16:uniqueId val="{00000002-4A37-4F3E-B804-DA91172D9F33}"/>
            </c:ext>
          </c:extLst>
        </c:ser>
        <c:ser>
          <c:idx val="3"/>
          <c:order val="3"/>
          <c:tx>
            <c:strRef>
              <c:f>zaposleni!$A$70</c:f>
              <c:strCache>
                <c:ptCount val="1"/>
                <c:pt idx="0">
                  <c:v>Ostalo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zaposleni!$B$50:$F$50</c:f>
              <c:numCache>
                <c:formatCode>General</c:formatCode>
                <c:ptCount val="5"/>
                <c:pt idx="0">
                  <c:v>2012</c:v>
                </c:pt>
                <c:pt idx="1">
                  <c:v>2013</c:v>
                </c:pt>
                <c:pt idx="2">
                  <c:v>2014</c:v>
                </c:pt>
                <c:pt idx="3">
                  <c:v>2015</c:v>
                </c:pt>
                <c:pt idx="4">
                  <c:v>2016</c:v>
                </c:pt>
              </c:numCache>
            </c:numRef>
          </c:cat>
          <c:val>
            <c:numRef>
              <c:f>zaposleni!$B$70:$F$70</c:f>
              <c:numCache>
                <c:formatCode>General</c:formatCode>
                <c:ptCount val="5"/>
                <c:pt idx="0">
                  <c:v>718</c:v>
                </c:pt>
                <c:pt idx="1">
                  <c:v>675</c:v>
                </c:pt>
                <c:pt idx="2">
                  <c:v>529</c:v>
                </c:pt>
                <c:pt idx="3">
                  <c:v>741</c:v>
                </c:pt>
                <c:pt idx="4">
                  <c:v>756</c:v>
                </c:pt>
              </c:numCache>
            </c:numRef>
          </c:val>
          <c:extLst>
            <c:ext xmlns:c16="http://schemas.microsoft.com/office/drawing/2014/chart" uri="{C3380CC4-5D6E-409C-BE32-E72D297353CC}">
              <c16:uniqueId val="{00000003-4A37-4F3E-B804-DA91172D9F33}"/>
            </c:ext>
          </c:extLst>
        </c:ser>
        <c:dLbls>
          <c:showLegendKey val="0"/>
          <c:showVal val="0"/>
          <c:showCatName val="0"/>
          <c:showSerName val="0"/>
          <c:showPercent val="0"/>
          <c:showBubbleSize val="0"/>
        </c:dLbls>
        <c:gapWidth val="219"/>
        <c:overlap val="-27"/>
        <c:axId val="756110752"/>
        <c:axId val="632505456"/>
      </c:barChart>
      <c:catAx>
        <c:axId val="75611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505456"/>
        <c:crosses val="autoZero"/>
        <c:auto val="1"/>
        <c:lblAlgn val="ctr"/>
        <c:lblOffset val="100"/>
        <c:noMultiLvlLbl val="0"/>
      </c:catAx>
      <c:valAx>
        <c:axId val="63250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11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3AB0D5-9664-4433-8A5A-E84334C6D102}" type="doc">
      <dgm:prSet loTypeId="urn:microsoft.com/office/officeart/2005/8/layout/radial4" loCatId="relationship" qsTypeId="urn:microsoft.com/office/officeart/2005/8/quickstyle/simple2" qsCatId="simple" csTypeId="urn:microsoft.com/office/officeart/2005/8/colors/accent2_1" csCatId="accent2" phldr="1"/>
      <dgm:spPr/>
      <dgm:t>
        <a:bodyPr/>
        <a:lstStyle/>
        <a:p>
          <a:endParaRPr lang="en-GB"/>
        </a:p>
      </dgm:t>
    </dgm:pt>
    <dgm:pt modelId="{7EA1C5B4-FBB6-42E8-B0FC-70FBB268E96A}">
      <dgm:prSet phldrT="[Text]" custT="1"/>
      <dgm:spPr>
        <a:xfrm>
          <a:off x="1041648" y="128778"/>
          <a:ext cx="3329602" cy="1531852"/>
        </a:xfrm>
        <a:solidFill>
          <a:sysClr val="window" lastClr="FFFFFF">
            <a:hueOff val="0"/>
            <a:satOff val="0"/>
            <a:lumOff val="0"/>
            <a:alphaOff val="0"/>
          </a:sysClr>
        </a:solidFill>
        <a:ln w="19050" cap="flat" cmpd="sng" algn="ctr">
          <a:solidFill>
            <a:schemeClr val="accent1">
              <a:lumMod val="75000"/>
            </a:schemeClr>
          </a:solidFill>
          <a:prstDash val="solid"/>
          <a:miter lim="800000"/>
        </a:ln>
        <a:effectLst/>
      </dgm:spPr>
      <dgm:t>
        <a:bodyPr/>
        <a:lstStyle/>
        <a:p>
          <a:pPr algn="ctr"/>
          <a:r>
            <a:rPr lang="ru-RU" sz="1000"/>
            <a:t>Prnjavor 2020. godine će biti mjesto gdje će ljudi ovog područja, ma gdje se trenutno nalazili i kom narodu pripadali, na osnovu svoje preduzetnosti, znanja i poslovnih veza ostvariti snažan priliv investicija i dinamičan razvoj lokalne privrede. Kao rezultatat ovakvog desetogodišnjeg privrednog zamaha i društvenog napretka, Prnjavor će od „Male Evrope“ postati „Evropa u malom“, sa </a:t>
          </a:r>
          <a:r>
            <a:rPr lang="sr-Latn-BA" sz="1000"/>
            <a:t>višim</a:t>
          </a:r>
          <a:r>
            <a:rPr lang="ru-RU" sz="1000"/>
            <a:t> kvalitetom života, razvijenom društvenom i komunalnom infrastrukturom, turistički atraktivnom i očuvanom životnom sredinom, prepoznatljiv po imidžu multikulturalnosti i tolerantnosti</a:t>
          </a:r>
          <a:r>
            <a:rPr lang="ru-RU" sz="800"/>
            <a:t>.</a:t>
          </a:r>
          <a:endParaRPr lang="sr-Cyrl-CS" sz="800" b="0">
            <a:solidFill>
              <a:sysClr val="windowText" lastClr="000000">
                <a:hueOff val="0"/>
                <a:satOff val="0"/>
                <a:lumOff val="0"/>
                <a:alphaOff val="0"/>
              </a:sysClr>
            </a:solidFill>
            <a:latin typeface="+mn-lt"/>
            <a:ea typeface="+mn-ea"/>
            <a:cs typeface="+mn-cs"/>
          </a:endParaRPr>
        </a:p>
      </dgm:t>
    </dgm:pt>
    <dgm:pt modelId="{61A558A3-A599-4913-9EE8-19EA3B5D8141}" type="parTrans" cxnId="{22A8A953-0328-4683-A0A7-6DA38609A9D8}">
      <dgm:prSet/>
      <dgm:spPr/>
      <dgm:t>
        <a:bodyPr/>
        <a:lstStyle/>
        <a:p>
          <a:pPr algn="ctr"/>
          <a:endParaRPr lang="en-GB"/>
        </a:p>
      </dgm:t>
    </dgm:pt>
    <dgm:pt modelId="{5539A566-9F25-4A79-A79F-CB70B8AC64AD}" type="sibTrans" cxnId="{22A8A953-0328-4683-A0A7-6DA38609A9D8}">
      <dgm:prSet/>
      <dgm:spPr/>
      <dgm:t>
        <a:bodyPr/>
        <a:lstStyle/>
        <a:p>
          <a:pPr algn="ctr"/>
          <a:endParaRPr lang="en-GB"/>
        </a:p>
      </dgm:t>
    </dgm:pt>
    <dgm:pt modelId="{8F38A297-CEC9-423F-9AE7-B5A5C6C161F4}">
      <dgm:prSet phldrT="[Text]" custT="1"/>
      <dgm:spPr>
        <a:xfrm>
          <a:off x="3947502" y="2555822"/>
          <a:ext cx="1401315" cy="1139888"/>
        </a:xfrm>
        <a:solidFill>
          <a:sysClr val="window" lastClr="FFFFFF">
            <a:hueOff val="0"/>
            <a:satOff val="0"/>
            <a:lumOff val="0"/>
            <a:alphaOff val="0"/>
          </a:sysClr>
        </a:solidFill>
        <a:ln w="19050" cap="flat" cmpd="sng" algn="ctr">
          <a:solidFill>
            <a:schemeClr val="accent1">
              <a:lumMod val="75000"/>
            </a:schemeClr>
          </a:solidFill>
          <a:prstDash val="solid"/>
          <a:miter lim="800000"/>
        </a:ln>
        <a:effectLst/>
      </dgm:spPr>
      <dgm:t>
        <a:bodyPr/>
        <a:lstStyle/>
        <a:p>
          <a:pPr algn="ctr"/>
          <a:r>
            <a:rPr lang="sr-Latn-BA" sz="1000" dirty="0">
              <a:latin typeface="+mn-lt"/>
            </a:rPr>
            <a:t>Unapređen sistem upravljanja otpadom i energetska efikasnost i povećan stepen korištenja obnovljive / čiste energije uz smanjenje rizika od elementarnih nepogoda i drugih nesreća </a:t>
          </a:r>
          <a:endParaRPr lang="en-GB" sz="1000" b="1">
            <a:solidFill>
              <a:sysClr val="windowText" lastClr="000000">
                <a:hueOff val="0"/>
                <a:satOff val="0"/>
                <a:lumOff val="0"/>
                <a:alphaOff val="0"/>
              </a:sysClr>
            </a:solidFill>
            <a:latin typeface="Calibri" panose="020F0502020204030204"/>
            <a:ea typeface="+mn-ea"/>
            <a:cs typeface="+mn-cs"/>
          </a:endParaRPr>
        </a:p>
      </dgm:t>
    </dgm:pt>
    <dgm:pt modelId="{2183B360-AF31-45DA-A1B8-4950625A8D6D}" type="sibTrans" cxnId="{0D5429A5-6431-4EB5-BF4F-681FBC18EADB}">
      <dgm:prSet/>
      <dgm:spPr/>
      <dgm:t>
        <a:bodyPr/>
        <a:lstStyle/>
        <a:p>
          <a:pPr algn="ctr"/>
          <a:endParaRPr lang="en-GB"/>
        </a:p>
      </dgm:t>
    </dgm:pt>
    <dgm:pt modelId="{5E48C935-A4E7-4FED-A8D9-94911562856A}" type="parTrans" cxnId="{0D5429A5-6431-4EB5-BF4F-681FBC18EADB}">
      <dgm:prSet/>
      <dgm:spPr>
        <a:xfrm rot="2938003">
          <a:off x="3528626" y="1938225"/>
          <a:ext cx="1904231" cy="497802"/>
        </a:xfrm>
        <a:solidFill>
          <a:srgbClr val="00B0F0"/>
        </a:solidFill>
        <a:ln>
          <a:noFill/>
        </a:ln>
        <a:effectLst/>
      </dgm:spPr>
      <dgm:t>
        <a:bodyPr/>
        <a:lstStyle/>
        <a:p>
          <a:pPr algn="ctr"/>
          <a:endParaRPr lang="en-GB"/>
        </a:p>
      </dgm:t>
    </dgm:pt>
    <dgm:pt modelId="{5EF7F03C-DF5D-4FD6-B6A8-448D7B2819CF}">
      <dgm:prSet/>
      <dgm:spPr/>
      <dgm:t>
        <a:bodyPr/>
        <a:lstStyle/>
        <a:p>
          <a:pPr algn="ctr"/>
          <a:endParaRPr lang="hr-HR"/>
        </a:p>
      </dgm:t>
    </dgm:pt>
    <dgm:pt modelId="{D85F0FA6-0C7C-4635-8E77-ABF159BE5C5A}" type="parTrans" cxnId="{2604E489-A362-4B1F-9806-D4E1939C29AA}">
      <dgm:prSet/>
      <dgm:spPr/>
      <dgm:t>
        <a:bodyPr/>
        <a:lstStyle/>
        <a:p>
          <a:pPr algn="ctr"/>
          <a:endParaRPr lang="hr-HR"/>
        </a:p>
      </dgm:t>
    </dgm:pt>
    <dgm:pt modelId="{E8E2271D-B948-4D00-98E8-612C4B5C03B7}" type="sibTrans" cxnId="{2604E489-A362-4B1F-9806-D4E1939C29AA}">
      <dgm:prSet/>
      <dgm:spPr/>
      <dgm:t>
        <a:bodyPr/>
        <a:lstStyle/>
        <a:p>
          <a:pPr algn="ctr"/>
          <a:endParaRPr lang="hr-HR"/>
        </a:p>
      </dgm:t>
    </dgm:pt>
    <dgm:pt modelId="{69506C0C-27EE-4B49-A528-5DD2BEBFB973}">
      <dgm:prSet phldrT="[Text]" custT="1"/>
      <dgm:spPr>
        <a:xfrm>
          <a:off x="135942" y="2568169"/>
          <a:ext cx="1327905" cy="1146579"/>
        </a:xfrm>
        <a:solidFill>
          <a:sysClr val="window" lastClr="FFFFFF">
            <a:hueOff val="0"/>
            <a:satOff val="0"/>
            <a:lumOff val="0"/>
            <a:alphaOff val="0"/>
          </a:sysClr>
        </a:solidFill>
        <a:ln w="19050" cap="flat" cmpd="sng" algn="ctr">
          <a:solidFill>
            <a:schemeClr val="accent1">
              <a:lumMod val="75000"/>
            </a:schemeClr>
          </a:solidFill>
          <a:prstDash val="solid"/>
          <a:miter lim="800000"/>
        </a:ln>
        <a:effectLst/>
      </dgm:spPr>
      <dgm:t>
        <a:bodyPr/>
        <a:lstStyle/>
        <a:p>
          <a:pPr algn="ctr"/>
          <a:r>
            <a:rPr lang="sr-Latn-BA" sz="1000" dirty="0">
              <a:latin typeface="+mn-lt"/>
            </a:rPr>
            <a:t>Unapređena konkurentnost i tržišna orijentacija lokalne privrede sa kreiranjem novih radnih mjesta</a:t>
          </a:r>
          <a:endParaRPr lang="en-GB" sz="1000" b="0">
            <a:solidFill>
              <a:sysClr val="windowText" lastClr="000000"/>
            </a:solidFill>
            <a:latin typeface="Calibri" panose="020F0502020204030204"/>
            <a:ea typeface="+mn-ea"/>
            <a:cs typeface="+mn-cs"/>
          </a:endParaRPr>
        </a:p>
      </dgm:t>
    </dgm:pt>
    <dgm:pt modelId="{94196F99-89F6-4FCA-A2DC-C508EE9B97C2}" type="sibTrans" cxnId="{9014A41B-F465-4F91-89ED-A452BF6B52CC}">
      <dgm:prSet/>
      <dgm:spPr/>
      <dgm:t>
        <a:bodyPr/>
        <a:lstStyle/>
        <a:p>
          <a:pPr algn="ctr"/>
          <a:endParaRPr lang="en-GB"/>
        </a:p>
      </dgm:t>
    </dgm:pt>
    <dgm:pt modelId="{1F9558ED-586B-4BFE-BDC8-601E439647C0}" type="parTrans" cxnId="{9014A41B-F465-4F91-89ED-A452BF6B52CC}">
      <dgm:prSet/>
      <dgm:spPr>
        <a:xfrm rot="7819040">
          <a:off x="466408" y="1825472"/>
          <a:ext cx="1497909" cy="497802"/>
        </a:xfrm>
        <a:solidFill>
          <a:srgbClr val="00B0F0"/>
        </a:solidFill>
        <a:ln>
          <a:noFill/>
        </a:ln>
        <a:effectLst/>
      </dgm:spPr>
      <dgm:t>
        <a:bodyPr/>
        <a:lstStyle/>
        <a:p>
          <a:pPr algn="ctr"/>
          <a:endParaRPr lang="en-GB"/>
        </a:p>
      </dgm:t>
    </dgm:pt>
    <dgm:pt modelId="{70D3BE4C-B0E4-4D0E-A97B-C5F1CD058228}">
      <dgm:prSet phldrT="[Text]" custScaleX="112961" custScaleY="87006" custRadScaleRad="5816" custRadScaleInc="-269787"/>
      <dgm:spPr>
        <a:xfrm>
          <a:off x="1769440" y="2549200"/>
          <a:ext cx="1874410" cy="1154982"/>
        </a:xfrm>
        <a:prstGeom prst="roundRect">
          <a:avLst>
            <a:gd name="adj" fmla="val 10000"/>
          </a:avLst>
        </a:prstGeom>
        <a:solidFill>
          <a:sysClr val="window" lastClr="FFFFFF">
            <a:hueOff val="0"/>
            <a:satOff val="0"/>
            <a:lumOff val="0"/>
            <a:alphaOff val="0"/>
          </a:sysClr>
        </a:solidFill>
        <a:ln w="19050" cap="flat" cmpd="sng" algn="ctr">
          <a:solidFill>
            <a:schemeClr val="accent1">
              <a:lumMod val="75000"/>
            </a:schemeClr>
          </a:solidFill>
          <a:prstDash val="solid"/>
          <a:miter lim="800000"/>
        </a:ln>
        <a:effectLst/>
      </dgm:spPr>
      <dgm:t>
        <a:bodyPr/>
        <a:lstStyle/>
        <a:p>
          <a:endParaRPr lang="en-US"/>
        </a:p>
      </dgm:t>
    </dgm:pt>
    <dgm:pt modelId="{B813AB54-0A16-4B4A-AD5B-41C36BD3DACB}" type="parTrans" cxnId="{C30A95C2-AEF8-4635-8B47-B4DAFBF8D032}">
      <dgm:prSet custAng="301" custLinFactNeighborX="1183" custLinFactNeighborY="-17734"/>
      <dgm:spPr>
        <a:prstGeom prst="leftArrow">
          <a:avLst>
            <a:gd name="adj1" fmla="val 60000"/>
            <a:gd name="adj2" fmla="val 50000"/>
          </a:avLst>
        </a:prstGeom>
      </dgm:spPr>
      <dgm:t>
        <a:bodyPr/>
        <a:lstStyle/>
        <a:p>
          <a:endParaRPr lang="en-US"/>
        </a:p>
      </dgm:t>
    </dgm:pt>
    <dgm:pt modelId="{24CC14D0-0EBA-4D07-8A76-8DE6A04BC8F6}" type="sibTrans" cxnId="{C30A95C2-AEF8-4635-8B47-B4DAFBF8D032}">
      <dgm:prSet/>
      <dgm:spPr/>
      <dgm:t>
        <a:bodyPr/>
        <a:lstStyle/>
        <a:p>
          <a:endParaRPr lang="en-US"/>
        </a:p>
      </dgm:t>
    </dgm:pt>
    <dgm:pt modelId="{2BAE5840-5367-497B-8A4C-ACAB9B64A4E5}">
      <dgm:prSet/>
      <dgm:spPr/>
      <dgm:t>
        <a:bodyPr/>
        <a:lstStyle/>
        <a:p>
          <a:pPr algn="ctr"/>
          <a:endParaRPr lang="hr-HR"/>
        </a:p>
      </dgm:t>
    </dgm:pt>
    <dgm:pt modelId="{CF041466-7336-47FE-881F-5BF19FFEE767}" type="parTrans" cxnId="{1A8A32DE-8446-457C-ACB9-22EB9A16CBFF}">
      <dgm:prSet/>
      <dgm:spPr/>
      <dgm:t>
        <a:bodyPr/>
        <a:lstStyle/>
        <a:p>
          <a:endParaRPr lang="en-US"/>
        </a:p>
      </dgm:t>
    </dgm:pt>
    <dgm:pt modelId="{4F765B4D-7C56-4011-9CBF-E075A552D3B1}" type="sibTrans" cxnId="{1A8A32DE-8446-457C-ACB9-22EB9A16CBFF}">
      <dgm:prSet/>
      <dgm:spPr/>
      <dgm:t>
        <a:bodyPr/>
        <a:lstStyle/>
        <a:p>
          <a:endParaRPr lang="en-US"/>
        </a:p>
      </dgm:t>
    </dgm:pt>
    <dgm:pt modelId="{5C06CCE2-C838-42EB-A511-1E98EB7D45D1}">
      <dgm:prSet custT="1"/>
      <dgm:spPr>
        <a:ln>
          <a:solidFill>
            <a:srgbClr val="0070C0"/>
          </a:solidFill>
        </a:ln>
      </dgm:spPr>
      <dgm:t>
        <a:bodyPr/>
        <a:lstStyle/>
        <a:p>
          <a:r>
            <a:rPr lang="sr-Latn-BA" sz="1000" dirty="0">
              <a:latin typeface="+mn-lt"/>
            </a:rPr>
            <a:t>Ostvaren visok kvalitet javnih i komunalnih usluga sa razvijenom društvenom infrastrukturom u urbanom i ruralnom području</a:t>
          </a:r>
          <a:endParaRPr lang="en-US" sz="1000"/>
        </a:p>
      </dgm:t>
    </dgm:pt>
    <dgm:pt modelId="{60CDE421-1D2A-4CB0-BE91-7F0DFAABA49E}" type="parTrans" cxnId="{27C6434B-6939-4D83-B139-05EA8C0E5268}">
      <dgm:prSet/>
      <dgm:spPr>
        <a:solidFill>
          <a:srgbClr val="00B0F0"/>
        </a:solidFill>
      </dgm:spPr>
      <dgm:t>
        <a:bodyPr/>
        <a:lstStyle/>
        <a:p>
          <a:endParaRPr lang="en-US"/>
        </a:p>
      </dgm:t>
    </dgm:pt>
    <dgm:pt modelId="{D72829E8-FF28-44ED-B166-DC5F4D5EF8C3}" type="sibTrans" cxnId="{27C6434B-6939-4D83-B139-05EA8C0E5268}">
      <dgm:prSet/>
      <dgm:spPr/>
      <dgm:t>
        <a:bodyPr/>
        <a:lstStyle/>
        <a:p>
          <a:endParaRPr lang="en-US"/>
        </a:p>
      </dgm:t>
    </dgm:pt>
    <dgm:pt modelId="{8A6BBC6C-55C8-4D71-A96E-C1EC7CFD14B8}" type="pres">
      <dgm:prSet presAssocID="{CF3AB0D5-9664-4433-8A5A-E84334C6D102}" presName="cycle" presStyleCnt="0">
        <dgm:presLayoutVars>
          <dgm:chMax val="1"/>
          <dgm:dir/>
          <dgm:animLvl val="ctr"/>
          <dgm:resizeHandles val="exact"/>
        </dgm:presLayoutVars>
      </dgm:prSet>
      <dgm:spPr/>
    </dgm:pt>
    <dgm:pt modelId="{A637328E-43B2-478C-88FA-97F1DABDBD59}" type="pres">
      <dgm:prSet presAssocID="{7EA1C5B4-FBB6-42E8-B0FC-70FBB268E96A}" presName="centerShape" presStyleLbl="node0" presStyleIdx="0" presStyleCnt="1" custScaleX="190625" custScaleY="125027" custLinFactNeighborX="-909" custLinFactNeighborY="-45302"/>
      <dgm:spPr>
        <a:prstGeom prst="ellipse">
          <a:avLst/>
        </a:prstGeom>
      </dgm:spPr>
    </dgm:pt>
    <dgm:pt modelId="{4FDFCF71-7208-43D3-8108-4B3B533DB1A2}" type="pres">
      <dgm:prSet presAssocID="{1F9558ED-586B-4BFE-BDC8-601E439647C0}" presName="parTrans" presStyleLbl="bgSibTrans2D1" presStyleIdx="0" presStyleCnt="3" custScaleX="78824" custLinFactNeighborX="-27747" custLinFactNeighborY="-67228"/>
      <dgm:spPr>
        <a:prstGeom prst="leftArrow">
          <a:avLst>
            <a:gd name="adj1" fmla="val 60000"/>
            <a:gd name="adj2" fmla="val 50000"/>
          </a:avLst>
        </a:prstGeom>
      </dgm:spPr>
    </dgm:pt>
    <dgm:pt modelId="{5E3DFD3C-1EC4-4007-ACFC-24B1934A46A9}" type="pres">
      <dgm:prSet presAssocID="{69506C0C-27EE-4B49-A528-5DD2BEBFB973}" presName="node" presStyleLbl="node1" presStyleIdx="0" presStyleCnt="3" custScaleX="92084" custScaleY="86373" custRadScaleRad="80293" custRadScaleInc="-42750">
        <dgm:presLayoutVars>
          <dgm:bulletEnabled val="1"/>
        </dgm:presLayoutVars>
      </dgm:prSet>
      <dgm:spPr>
        <a:prstGeom prst="roundRect">
          <a:avLst>
            <a:gd name="adj" fmla="val 10000"/>
          </a:avLst>
        </a:prstGeom>
      </dgm:spPr>
    </dgm:pt>
    <dgm:pt modelId="{F23019CA-17CE-427D-B199-AA74F9CB8B18}" type="pres">
      <dgm:prSet presAssocID="{60CDE421-1D2A-4CB0-BE91-7F0DFAABA49E}" presName="parTrans" presStyleLbl="bgSibTrans2D1" presStyleIdx="1" presStyleCnt="3" custAng="67282"/>
      <dgm:spPr/>
    </dgm:pt>
    <dgm:pt modelId="{3C3FC708-32EF-4D9C-9740-2F030A242620}" type="pres">
      <dgm:prSet presAssocID="{5C06CCE2-C838-42EB-A511-1E98EB7D45D1}" presName="node" presStyleLbl="node1" presStyleIdx="1" presStyleCnt="3" custRadScaleRad="13569" custRadScaleInc="-299984">
        <dgm:presLayoutVars>
          <dgm:bulletEnabled val="1"/>
        </dgm:presLayoutVars>
      </dgm:prSet>
      <dgm:spPr/>
    </dgm:pt>
    <dgm:pt modelId="{73458C05-1EE1-41DE-B9C2-3702E1EC0814}" type="pres">
      <dgm:prSet presAssocID="{5E48C935-A4E7-4FED-A8D9-94911562856A}" presName="parTrans" presStyleLbl="bgSibTrans2D1" presStyleIdx="2" presStyleCnt="3" custLinFactNeighborX="36306" custLinFactNeighborY="-60254"/>
      <dgm:spPr>
        <a:prstGeom prst="leftArrow">
          <a:avLst>
            <a:gd name="adj1" fmla="val 60000"/>
            <a:gd name="adj2" fmla="val 50000"/>
          </a:avLst>
        </a:prstGeom>
      </dgm:spPr>
    </dgm:pt>
    <dgm:pt modelId="{D3D58AE2-EF85-451E-9A73-90298B73C071}" type="pres">
      <dgm:prSet presAssocID="{8F38A297-CEC9-423F-9AE7-B5A5C6C161F4}" presName="node" presStyleLbl="node1" presStyleIdx="2" presStyleCnt="3" custScaleX="103675" custScaleY="85869" custRadScaleRad="80511" custRadScaleInc="41018">
        <dgm:presLayoutVars>
          <dgm:bulletEnabled val="1"/>
        </dgm:presLayoutVars>
      </dgm:prSet>
      <dgm:spPr>
        <a:prstGeom prst="roundRect">
          <a:avLst>
            <a:gd name="adj" fmla="val 10000"/>
          </a:avLst>
        </a:prstGeom>
      </dgm:spPr>
    </dgm:pt>
  </dgm:ptLst>
  <dgm:cxnLst>
    <dgm:cxn modelId="{9014A41B-F465-4F91-89ED-A452BF6B52CC}" srcId="{7EA1C5B4-FBB6-42E8-B0FC-70FBB268E96A}" destId="{69506C0C-27EE-4B49-A528-5DD2BEBFB973}" srcOrd="0" destOrd="0" parTransId="{1F9558ED-586B-4BFE-BDC8-601E439647C0}" sibTransId="{94196F99-89F6-4FCA-A2DC-C508EE9B97C2}"/>
    <dgm:cxn modelId="{C0105A39-964B-43D4-BACE-C5C6209D41B5}" type="presOf" srcId="{1F9558ED-586B-4BFE-BDC8-601E439647C0}" destId="{4FDFCF71-7208-43D3-8108-4B3B533DB1A2}" srcOrd="0" destOrd="0" presId="urn:microsoft.com/office/officeart/2005/8/layout/radial4"/>
    <dgm:cxn modelId="{041AB247-3643-47B6-8AB7-0B7429BBD4DC}" type="presOf" srcId="{8F38A297-CEC9-423F-9AE7-B5A5C6C161F4}" destId="{D3D58AE2-EF85-451E-9A73-90298B73C071}" srcOrd="0" destOrd="0" presId="urn:microsoft.com/office/officeart/2005/8/layout/radial4"/>
    <dgm:cxn modelId="{27C6434B-6939-4D83-B139-05EA8C0E5268}" srcId="{7EA1C5B4-FBB6-42E8-B0FC-70FBB268E96A}" destId="{5C06CCE2-C838-42EB-A511-1E98EB7D45D1}" srcOrd="1" destOrd="0" parTransId="{60CDE421-1D2A-4CB0-BE91-7F0DFAABA49E}" sibTransId="{D72829E8-FF28-44ED-B166-DC5F4D5EF8C3}"/>
    <dgm:cxn modelId="{22A8A953-0328-4683-A0A7-6DA38609A9D8}" srcId="{CF3AB0D5-9664-4433-8A5A-E84334C6D102}" destId="{7EA1C5B4-FBB6-42E8-B0FC-70FBB268E96A}" srcOrd="0" destOrd="0" parTransId="{61A558A3-A599-4913-9EE8-19EA3B5D8141}" sibTransId="{5539A566-9F25-4A79-A79F-CB70B8AC64AD}"/>
    <dgm:cxn modelId="{5B424254-B57E-45CB-BEE6-D31FF1D2ADE8}" type="presOf" srcId="{CF3AB0D5-9664-4433-8A5A-E84334C6D102}" destId="{8A6BBC6C-55C8-4D71-A96E-C1EC7CFD14B8}" srcOrd="0" destOrd="0" presId="urn:microsoft.com/office/officeart/2005/8/layout/radial4"/>
    <dgm:cxn modelId="{4E905857-40B9-4717-B603-3D7CEE2357AA}" type="presOf" srcId="{69506C0C-27EE-4B49-A528-5DD2BEBFB973}" destId="{5E3DFD3C-1EC4-4007-ACFC-24B1934A46A9}" srcOrd="0" destOrd="0" presId="urn:microsoft.com/office/officeart/2005/8/layout/radial4"/>
    <dgm:cxn modelId="{2604E489-A362-4B1F-9806-D4E1939C29AA}" srcId="{CF3AB0D5-9664-4433-8A5A-E84334C6D102}" destId="{5EF7F03C-DF5D-4FD6-B6A8-448D7B2819CF}" srcOrd="2" destOrd="0" parTransId="{D85F0FA6-0C7C-4635-8E77-ABF159BE5C5A}" sibTransId="{E8E2271D-B948-4D00-98E8-612C4B5C03B7}"/>
    <dgm:cxn modelId="{A03E14A1-F4E3-4BC5-90EA-02FD8122C4C6}" type="presOf" srcId="{5C06CCE2-C838-42EB-A511-1E98EB7D45D1}" destId="{3C3FC708-32EF-4D9C-9740-2F030A242620}" srcOrd="0" destOrd="0" presId="urn:microsoft.com/office/officeart/2005/8/layout/radial4"/>
    <dgm:cxn modelId="{0D5429A5-6431-4EB5-BF4F-681FBC18EADB}" srcId="{7EA1C5B4-FBB6-42E8-B0FC-70FBB268E96A}" destId="{8F38A297-CEC9-423F-9AE7-B5A5C6C161F4}" srcOrd="2" destOrd="0" parTransId="{5E48C935-A4E7-4FED-A8D9-94911562856A}" sibTransId="{2183B360-AF31-45DA-A1B8-4950625A8D6D}"/>
    <dgm:cxn modelId="{989BF4B2-1D9E-4212-A5AF-595927C1C8B8}" type="presOf" srcId="{5E48C935-A4E7-4FED-A8D9-94911562856A}" destId="{73458C05-1EE1-41DE-B9C2-3702E1EC0814}" srcOrd="0" destOrd="0" presId="urn:microsoft.com/office/officeart/2005/8/layout/radial4"/>
    <dgm:cxn modelId="{C30A95C2-AEF8-4635-8B47-B4DAFBF8D032}" srcId="{CF3AB0D5-9664-4433-8A5A-E84334C6D102}" destId="{70D3BE4C-B0E4-4D0E-A97B-C5F1CD058228}" srcOrd="3" destOrd="0" parTransId="{B813AB54-0A16-4B4A-AD5B-41C36BD3DACB}" sibTransId="{24CC14D0-0EBA-4D07-8A76-8DE6A04BC8F6}"/>
    <dgm:cxn modelId="{1A8A32DE-8446-457C-ACB9-22EB9A16CBFF}" srcId="{CF3AB0D5-9664-4433-8A5A-E84334C6D102}" destId="{2BAE5840-5367-497B-8A4C-ACAB9B64A4E5}" srcOrd="1" destOrd="0" parTransId="{CF041466-7336-47FE-881F-5BF19FFEE767}" sibTransId="{4F765B4D-7C56-4011-9CBF-E075A552D3B1}"/>
    <dgm:cxn modelId="{15922FE6-AFC4-4329-B278-C06027F4626A}" type="presOf" srcId="{60CDE421-1D2A-4CB0-BE91-7F0DFAABA49E}" destId="{F23019CA-17CE-427D-B199-AA74F9CB8B18}" srcOrd="0" destOrd="0" presId="urn:microsoft.com/office/officeart/2005/8/layout/radial4"/>
    <dgm:cxn modelId="{B6F8CAE7-078F-4AE2-BDC0-C64455BE3993}" type="presOf" srcId="{7EA1C5B4-FBB6-42E8-B0FC-70FBB268E96A}" destId="{A637328E-43B2-478C-88FA-97F1DABDBD59}" srcOrd="0" destOrd="0" presId="urn:microsoft.com/office/officeart/2005/8/layout/radial4"/>
    <dgm:cxn modelId="{CAAAED18-F171-41C8-B203-3A78F4228DF6}" type="presParOf" srcId="{8A6BBC6C-55C8-4D71-A96E-C1EC7CFD14B8}" destId="{A637328E-43B2-478C-88FA-97F1DABDBD59}" srcOrd="0" destOrd="0" presId="urn:microsoft.com/office/officeart/2005/8/layout/radial4"/>
    <dgm:cxn modelId="{2D0EE78B-58CB-4CDF-8212-18B1CA742AAA}" type="presParOf" srcId="{8A6BBC6C-55C8-4D71-A96E-C1EC7CFD14B8}" destId="{4FDFCF71-7208-43D3-8108-4B3B533DB1A2}" srcOrd="1" destOrd="0" presId="urn:microsoft.com/office/officeart/2005/8/layout/radial4"/>
    <dgm:cxn modelId="{343236E8-C241-4E04-9B15-2C7855FDF72F}" type="presParOf" srcId="{8A6BBC6C-55C8-4D71-A96E-C1EC7CFD14B8}" destId="{5E3DFD3C-1EC4-4007-ACFC-24B1934A46A9}" srcOrd="2" destOrd="0" presId="urn:microsoft.com/office/officeart/2005/8/layout/radial4"/>
    <dgm:cxn modelId="{7E55B95A-EEFA-43A6-8253-56C8186D2A09}" type="presParOf" srcId="{8A6BBC6C-55C8-4D71-A96E-C1EC7CFD14B8}" destId="{F23019CA-17CE-427D-B199-AA74F9CB8B18}" srcOrd="3" destOrd="0" presId="urn:microsoft.com/office/officeart/2005/8/layout/radial4"/>
    <dgm:cxn modelId="{1F7CEABC-58EA-44EB-AE7C-E9FB064B15B3}" type="presParOf" srcId="{8A6BBC6C-55C8-4D71-A96E-C1EC7CFD14B8}" destId="{3C3FC708-32EF-4D9C-9740-2F030A242620}" srcOrd="4" destOrd="0" presId="urn:microsoft.com/office/officeart/2005/8/layout/radial4"/>
    <dgm:cxn modelId="{2997EE00-6AD0-454A-A36C-D335C2AF6365}" type="presParOf" srcId="{8A6BBC6C-55C8-4D71-A96E-C1EC7CFD14B8}" destId="{73458C05-1EE1-41DE-B9C2-3702E1EC0814}" srcOrd="5" destOrd="0" presId="urn:microsoft.com/office/officeart/2005/8/layout/radial4"/>
    <dgm:cxn modelId="{1B0780EC-3C50-4D4B-A0DD-166FAB0627B9}" type="presParOf" srcId="{8A6BBC6C-55C8-4D71-A96E-C1EC7CFD14B8}" destId="{D3D58AE2-EF85-451E-9A73-90298B73C071}" srcOrd="6" destOrd="0" presId="urn:microsoft.com/office/officeart/2005/8/layout/radial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37328E-43B2-478C-88FA-97F1DABDBD59}">
      <dsp:nvSpPr>
        <dsp:cNvPr id="0" name=""/>
        <dsp:cNvSpPr/>
      </dsp:nvSpPr>
      <dsp:spPr>
        <a:xfrm>
          <a:off x="1211318" y="0"/>
          <a:ext cx="3988645" cy="2616070"/>
        </a:xfrm>
        <a:prstGeom prst="ellipse">
          <a:avLst/>
        </a:prstGeom>
        <a:solidFill>
          <a:sysClr val="window" lastClr="FFFFFF">
            <a:hueOff val="0"/>
            <a:satOff val="0"/>
            <a:lumOff val="0"/>
            <a:alphaOff val="0"/>
          </a:sysClr>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Prnjavor 2020. godine će biti mjesto gdje će ljudi ovog područja, ma gdje se trenutno nalazili i kom narodu pripadali, na osnovu svoje preduzetnosti, znanja i poslovnih veza ostvariti snažan priliv investicija i dinamičan razvoj lokalne privrede. Kao rezultatat ovakvog desetogodišnjeg privrednog zamaha i društvenog napretka, Prnjavor će od „Male Evrope“ postati „Evropa u malom“, sa </a:t>
          </a:r>
          <a:r>
            <a:rPr lang="sr-Latn-BA" sz="1000" kern="1200"/>
            <a:t>višim</a:t>
          </a:r>
          <a:r>
            <a:rPr lang="ru-RU" sz="1000" kern="1200"/>
            <a:t> kvalitetom života, razvijenom društvenom i komunalnom infrastrukturom, turistički atraktivnom i očuvanom životnom sredinom, prepoznatljiv po imidžu multikulturalnosti i tolerantnosti</a:t>
          </a:r>
          <a:r>
            <a:rPr lang="ru-RU" sz="800" kern="1200"/>
            <a:t>.</a:t>
          </a:r>
          <a:endParaRPr lang="sr-Cyrl-CS" sz="800" b="0" kern="1200">
            <a:solidFill>
              <a:sysClr val="windowText" lastClr="000000">
                <a:hueOff val="0"/>
                <a:satOff val="0"/>
                <a:lumOff val="0"/>
                <a:alphaOff val="0"/>
              </a:sysClr>
            </a:solidFill>
            <a:latin typeface="+mn-lt"/>
            <a:ea typeface="+mn-ea"/>
            <a:cs typeface="+mn-cs"/>
          </a:endParaRPr>
        </a:p>
      </dsp:txBody>
      <dsp:txXfrm>
        <a:off x="1795442" y="383115"/>
        <a:ext cx="2820397" cy="1849840"/>
      </dsp:txXfrm>
    </dsp:sp>
    <dsp:sp modelId="{4FDFCF71-7208-43D3-8108-4B3B533DB1A2}">
      <dsp:nvSpPr>
        <dsp:cNvPr id="0" name=""/>
        <dsp:cNvSpPr/>
      </dsp:nvSpPr>
      <dsp:spPr>
        <a:xfrm rot="8369107">
          <a:off x="660760" y="2086870"/>
          <a:ext cx="957009" cy="596335"/>
        </a:xfrm>
        <a:prstGeom prst="leftArrow">
          <a:avLst>
            <a:gd name="adj1" fmla="val 60000"/>
            <a:gd name="adj2" fmla="val 50000"/>
          </a:avLst>
        </a:prstGeom>
        <a:solidFill>
          <a:srgbClr val="00B0F0"/>
        </a:solidFill>
        <a:ln>
          <a:noFill/>
        </a:ln>
        <a:effectLst/>
      </dsp:spPr>
      <dsp:style>
        <a:lnRef idx="0">
          <a:scrgbClr r="0" g="0" b="0"/>
        </a:lnRef>
        <a:fillRef idx="1">
          <a:scrgbClr r="0" g="0" b="0"/>
        </a:fillRef>
        <a:effectRef idx="1">
          <a:scrgbClr r="0" g="0" b="0"/>
        </a:effectRef>
        <a:fontRef idx="minor">
          <a:schemeClr val="lt1"/>
        </a:fontRef>
      </dsp:style>
    </dsp:sp>
    <dsp:sp modelId="{5E3DFD3C-1EC4-4007-ACFC-24B1934A46A9}">
      <dsp:nvSpPr>
        <dsp:cNvPr id="0" name=""/>
        <dsp:cNvSpPr/>
      </dsp:nvSpPr>
      <dsp:spPr>
        <a:xfrm>
          <a:off x="99423" y="2493549"/>
          <a:ext cx="1830431" cy="1373527"/>
        </a:xfrm>
        <a:prstGeom prst="roundRect">
          <a:avLst>
            <a:gd name="adj" fmla="val 10000"/>
          </a:avLst>
        </a:prstGeom>
        <a:solidFill>
          <a:sysClr val="window" lastClr="FFFFFF">
            <a:hueOff val="0"/>
            <a:satOff val="0"/>
            <a:lumOff val="0"/>
            <a:alphaOff val="0"/>
          </a:sysClr>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sr-Latn-BA" sz="1000" kern="1200" dirty="0">
              <a:latin typeface="+mn-lt"/>
            </a:rPr>
            <a:t>Unapređena konkurentnost i tržišna orijentacija lokalne privrede sa kreiranjem novih radnih mjesta</a:t>
          </a:r>
          <a:endParaRPr lang="en-GB" sz="1000" b="0" kern="1200">
            <a:solidFill>
              <a:sysClr val="windowText" lastClr="000000"/>
            </a:solidFill>
            <a:latin typeface="Calibri" panose="020F0502020204030204"/>
            <a:ea typeface="+mn-ea"/>
            <a:cs typeface="+mn-cs"/>
          </a:endParaRPr>
        </a:p>
      </dsp:txBody>
      <dsp:txXfrm>
        <a:off x="139652" y="2533778"/>
        <a:ext cx="1749973" cy="1293069"/>
      </dsp:txXfrm>
    </dsp:sp>
    <dsp:sp modelId="{F23019CA-17CE-427D-B199-AA74F9CB8B18}">
      <dsp:nvSpPr>
        <dsp:cNvPr id="0" name=""/>
        <dsp:cNvSpPr/>
      </dsp:nvSpPr>
      <dsp:spPr>
        <a:xfrm rot="5400000">
          <a:off x="2622143" y="3012850"/>
          <a:ext cx="1245408" cy="596335"/>
        </a:xfrm>
        <a:prstGeom prst="leftArrow">
          <a:avLst>
            <a:gd name="adj1" fmla="val 60000"/>
            <a:gd name="adj2" fmla="val 50000"/>
          </a:avLst>
        </a:prstGeom>
        <a:solidFill>
          <a:srgbClr val="00B0F0"/>
        </a:solidFill>
        <a:ln>
          <a:noFill/>
        </a:ln>
        <a:effectLst/>
      </dsp:spPr>
      <dsp:style>
        <a:lnRef idx="0">
          <a:scrgbClr r="0" g="0" b="0"/>
        </a:lnRef>
        <a:fillRef idx="1">
          <a:scrgbClr r="0" g="0" b="0"/>
        </a:fillRef>
        <a:effectRef idx="1">
          <a:scrgbClr r="0" g="0" b="0"/>
        </a:effectRef>
        <a:fontRef idx="minor">
          <a:schemeClr val="lt1"/>
        </a:fontRef>
      </dsp:style>
    </dsp:sp>
    <dsp:sp modelId="{3C3FC708-32EF-4D9C-9740-2F030A242620}">
      <dsp:nvSpPr>
        <dsp:cNvPr id="0" name=""/>
        <dsp:cNvSpPr/>
      </dsp:nvSpPr>
      <dsp:spPr>
        <a:xfrm>
          <a:off x="2263142" y="3138489"/>
          <a:ext cx="1987784" cy="1590227"/>
        </a:xfrm>
        <a:prstGeom prst="roundRect">
          <a:avLst>
            <a:gd name="adj" fmla="val 10000"/>
          </a:avLst>
        </a:prstGeom>
        <a:solidFill>
          <a:schemeClr val="lt1">
            <a:hueOff val="0"/>
            <a:satOff val="0"/>
            <a:lumOff val="0"/>
            <a:alphaOff val="0"/>
          </a:schemeClr>
        </a:solidFill>
        <a:ln w="19050" cap="flat" cmpd="sng" algn="ctr">
          <a:solidFill>
            <a:srgbClr val="0070C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sr-Latn-BA" sz="1000" kern="1200" dirty="0">
              <a:latin typeface="+mn-lt"/>
            </a:rPr>
            <a:t>Ostvaren visok kvalitet javnih i komunalnih usluga sa razvijenom društvenom infrastrukturom u urbanom i ruralnom području</a:t>
          </a:r>
          <a:endParaRPr lang="en-US" sz="1000" kern="1200"/>
        </a:p>
      </dsp:txBody>
      <dsp:txXfrm>
        <a:off x="2309718" y="3185065"/>
        <a:ext cx="1894632" cy="1497075"/>
      </dsp:txXfrm>
    </dsp:sp>
    <dsp:sp modelId="{73458C05-1EE1-41DE-B9C2-3702E1EC0814}">
      <dsp:nvSpPr>
        <dsp:cNvPr id="0" name=""/>
        <dsp:cNvSpPr/>
      </dsp:nvSpPr>
      <dsp:spPr>
        <a:xfrm rot="2316128">
          <a:off x="4843281" y="2093723"/>
          <a:ext cx="1241794" cy="596335"/>
        </a:xfrm>
        <a:prstGeom prst="leftArrow">
          <a:avLst>
            <a:gd name="adj1" fmla="val 60000"/>
            <a:gd name="adj2" fmla="val 50000"/>
          </a:avLst>
        </a:prstGeom>
        <a:solidFill>
          <a:srgbClr val="00B0F0"/>
        </a:solidFill>
        <a:ln>
          <a:noFill/>
        </a:ln>
        <a:effectLst/>
      </dsp:spPr>
      <dsp:style>
        <a:lnRef idx="0">
          <a:scrgbClr r="0" g="0" b="0"/>
        </a:lnRef>
        <a:fillRef idx="1">
          <a:scrgbClr r="0" g="0" b="0"/>
        </a:fillRef>
        <a:effectRef idx="1">
          <a:scrgbClr r="0" g="0" b="0"/>
        </a:effectRef>
        <a:fontRef idx="minor">
          <a:schemeClr val="lt1"/>
        </a:fontRef>
      </dsp:style>
    </dsp:sp>
    <dsp:sp modelId="{D3D58AE2-EF85-451E-9A73-90298B73C071}">
      <dsp:nvSpPr>
        <dsp:cNvPr id="0" name=""/>
        <dsp:cNvSpPr/>
      </dsp:nvSpPr>
      <dsp:spPr>
        <a:xfrm>
          <a:off x="4468145" y="2455834"/>
          <a:ext cx="2060835" cy="1365512"/>
        </a:xfrm>
        <a:prstGeom prst="roundRect">
          <a:avLst>
            <a:gd name="adj" fmla="val 10000"/>
          </a:avLst>
        </a:prstGeom>
        <a:solidFill>
          <a:sysClr val="window" lastClr="FFFFFF">
            <a:hueOff val="0"/>
            <a:satOff val="0"/>
            <a:lumOff val="0"/>
            <a:alphaOff val="0"/>
          </a:sysClr>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sr-Latn-BA" sz="1000" kern="1200" dirty="0">
              <a:latin typeface="+mn-lt"/>
            </a:rPr>
            <a:t>Unapređen sistem upravljanja otpadom i energetska efikasnost i povećan stepen korištenja obnovljive / čiste energije uz smanjenje rizika od elementarnih nepogoda i drugih nesreća </a:t>
          </a:r>
          <a:endParaRPr lang="en-GB" sz="1000" b="1" kern="1200">
            <a:solidFill>
              <a:sysClr val="windowText" lastClr="000000">
                <a:hueOff val="0"/>
                <a:satOff val="0"/>
                <a:lumOff val="0"/>
                <a:alphaOff val="0"/>
              </a:sysClr>
            </a:solidFill>
            <a:latin typeface="Calibri" panose="020F0502020204030204"/>
            <a:ea typeface="+mn-ea"/>
            <a:cs typeface="+mn-cs"/>
          </a:endParaRPr>
        </a:p>
      </dsp:txBody>
      <dsp:txXfrm>
        <a:off x="4508139" y="2495828"/>
        <a:ext cx="1980847" cy="12855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CC0CE-985C-43C8-932C-63F93E93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20707</Words>
  <Characters>118036</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evidirana Strateška platforma                  Strategije razvoja opštine Prnjavor                            radna verzij</vt:lpstr>
    </vt:vector>
  </TitlesOfParts>
  <Company/>
  <LinksUpToDate>false</LinksUpToDate>
  <CharactersWithSpaces>138467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evidirana Strateška platforma                  Strategije razvoja opštine Prnjavor                            radna verzij</dc:title>
  <dc:subject>rnjavor, juli 2017</dc:subject>
  <dc:creator/>
  <cp:keywords/>
  <dc:description/>
  <cp:lastModifiedBy/>
  <cp:revision>1</cp:revision>
  <dcterms:created xsi:type="dcterms:W3CDTF">2017-04-06T12:40:00Z</dcterms:created>
  <dcterms:modified xsi:type="dcterms:W3CDTF">2017-10-23T07:49:00Z</dcterms:modified>
</cp:coreProperties>
</file>