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D48" w:rsidRDefault="00747F1D">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EB5D4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одржавања путне инфраструктуре у Одјељењу за стамбено-комуналне послове и инвестиције </w:t>
            </w:r>
          </w:p>
        </w:tc>
      </w:tr>
      <w:tr w:rsidR="00EB5D4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F83D9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30/06/2026 - 23</w:t>
            </w:r>
            <w:r w:rsidR="00747F1D">
              <w:rPr>
                <w:rFonts w:ascii="Times New Roman" w:eastAsia="Times New Roman" w:hAnsi="Times New Roman" w:cs="Times New Roman"/>
                <w:color w:val="000000"/>
                <w:sz w:val="20"/>
                <w:szCs w:val="20"/>
              </w:rPr>
              <w:t>/07/2026</w:t>
            </w:r>
          </w:p>
        </w:tc>
      </w:tr>
      <w:tr w:rsidR="00EB5D4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hAnsi="Times New Roman" w:cs="Times New Roman"/>
                <w:sz w:val="20"/>
                <w:szCs w:val="20"/>
              </w:rPr>
            </w:pPr>
            <w:r>
              <w:rPr>
                <w:rFonts w:ascii="Times New Roman" w:hAnsi="Times New Roman" w:cs="Times New Roman"/>
                <w:sz w:val="20"/>
                <w:szCs w:val="20"/>
              </w:rPr>
              <w:t>13-014-174/26</w:t>
            </w:r>
          </w:p>
        </w:tc>
      </w:tr>
      <w:tr w:rsidR="00EB5D4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Назив ревидираног субјекта</w:t>
            </w:r>
            <w:r>
              <w:rPr>
                <w:rFonts w:ascii="Times New Roman" w:eastAsia="Times New Roman" w:hAnsi="Times New Roman" w:cs="Times New Roman"/>
                <w:b/>
                <w:bCs/>
                <w:color w:val="000000"/>
                <w:sz w:val="20"/>
                <w:szCs w:val="20"/>
              </w:rPr>
              <w:t>/oрганизационе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 стамбено- комуналне послове и инвестиције</w:t>
            </w:r>
          </w:p>
        </w:tc>
      </w:tr>
      <w:tr w:rsidR="00EB5D48">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EB5D48">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EB5D48">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EB5D48">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pStyle w:val="CommentText"/>
            </w:pPr>
            <w:r>
              <w:rPr>
                <w:rFonts w:ascii="Times New Roman" w:hAnsi="Times New Roman" w:cs="Times New Roman"/>
                <w:b/>
                <w:bCs/>
              </w:rPr>
              <w:t xml:space="preserve">Слободан текст </w:t>
            </w:r>
            <w:r>
              <w:rPr>
                <w:rFonts w:ascii="Times New Roman" w:hAnsi="Times New Roman" w:cs="Times New Roman"/>
              </w:rPr>
              <w:t xml:space="preserve">(навести  кратак опис циљева и </w:t>
            </w:r>
            <w:r>
              <w:rPr>
                <w:rFonts w:ascii="Times New Roman" w:hAnsi="Times New Roman" w:cs="Times New Roman"/>
              </w:rPr>
              <w:t>обима ревизије, нај</w:t>
            </w:r>
            <w:r w:rsidR="00F83D9E">
              <w:rPr>
                <w:rFonts w:ascii="Times New Roman" w:hAnsi="Times New Roman" w:cs="Times New Roman"/>
              </w:rPr>
              <w:t xml:space="preserve">значајнијих налаза ревизије и </w:t>
            </w:r>
            <w:r w:rsidR="00F83D9E">
              <w:rPr>
                <w:rFonts w:ascii="Times New Roman" w:hAnsi="Times New Roman" w:cs="Times New Roman"/>
                <w:lang w:val="sr-Cyrl-BA"/>
              </w:rPr>
              <w:t>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color w:val="000000"/>
                <w:sz w:val="20"/>
                <w:szCs w:val="20"/>
              </w:rPr>
              <w:t> Унутар Одјељења за стамбено-комуналне послове и инвестиције се доноси Програм одржавања локалне путне мреже у којем је дефинисано одржавање путне инфраструктуре, а циљ ове интерне  рев</w:t>
            </w:r>
            <w:r>
              <w:rPr>
                <w:rFonts w:ascii="Times New Roman" w:eastAsia="Times New Roman" w:hAnsi="Times New Roman" w:cs="Times New Roman"/>
                <w:color w:val="000000"/>
                <w:sz w:val="20"/>
                <w:szCs w:val="20"/>
              </w:rPr>
              <w:t>изије је да се испита издавање налога за извоз посипног материјала, као и наруџбеница за набавку грађевинског материјала.</w:t>
            </w:r>
          </w:p>
        </w:tc>
      </w:tr>
      <w:tr w:rsidR="00EB5D48">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EB5D4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rPr>
                <w:rFonts w:ascii="Times New Roman" w:eastAsia="Times New Roman" w:hAnsi="Times New Roman" w:cs="Times New Roman"/>
                <w:color w:val="000000"/>
                <w:sz w:val="20"/>
                <w:szCs w:val="20"/>
              </w:rPr>
            </w:pPr>
          </w:p>
        </w:tc>
      </w:tr>
      <w:tr w:rsidR="00EB5D4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rPr>
                <w:rFonts w:ascii="Times New Roman" w:eastAsia="Times New Roman" w:hAnsi="Times New Roman" w:cs="Times New Roman"/>
                <w:color w:val="000000"/>
                <w:sz w:val="20"/>
                <w:szCs w:val="20"/>
              </w:rPr>
            </w:pPr>
          </w:p>
        </w:tc>
      </w:tr>
      <w:tr w:rsidR="00EB5D4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Осигурати да се издаје налог за извоз посипног </w:t>
            </w:r>
            <w:r>
              <w:rPr>
                <w:rFonts w:ascii="Times New Roman" w:eastAsia="Times New Roman" w:hAnsi="Times New Roman" w:cs="Times New Roman"/>
                <w:color w:val="000000"/>
                <w:sz w:val="20"/>
                <w:szCs w:val="20"/>
              </w:rPr>
              <w:t>материјала.</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Осигурати да постоје извјештаји о реализацији издатих налога за извоз посипног материјала.</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Осигурати да постоје наруџбенице за набавку грађевинског материјала за израду мостова, пропуста и других објеката.</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Осигурати да се рјешавају ошт</w:t>
            </w:r>
            <w:r>
              <w:rPr>
                <w:rFonts w:ascii="Times New Roman" w:eastAsia="Times New Roman" w:hAnsi="Times New Roman" w:cs="Times New Roman"/>
                <w:color w:val="000000"/>
                <w:sz w:val="20"/>
                <w:szCs w:val="20"/>
              </w:rPr>
              <w:t>ећења асфалтних и макадамских путева као и система за одвод површинских вода.</w:t>
            </w:r>
          </w:p>
        </w:tc>
      </w:tr>
      <w:tr w:rsidR="00EB5D4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EB5D48" w:rsidRDefault="00747F1D">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Програм одржавања локалне путне мреже за 2025. годину („Службени гласник града Прњавор“ број 29/24),</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документација за одржавање путне инфраструк</w:t>
            </w:r>
            <w:r>
              <w:rPr>
                <w:rFonts w:ascii="Times New Roman" w:eastAsia="Times New Roman" w:hAnsi="Times New Roman" w:cs="Times New Roman"/>
                <w:color w:val="000000"/>
                <w:sz w:val="20"/>
                <w:szCs w:val="20"/>
              </w:rPr>
              <w:t xml:space="preserve">туре из 2025. </w:t>
            </w:r>
            <w:r>
              <w:rPr>
                <w:rFonts w:ascii="Times New Roman" w:eastAsia="Times New Roman" w:hAnsi="Times New Roman" w:cs="Times New Roman"/>
                <w:color w:val="000000"/>
                <w:sz w:val="20"/>
                <w:szCs w:val="20"/>
              </w:rPr>
              <w:lastRenderedPageBreak/>
              <w:t>године,</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извјештај о реализацији Програма одржавања локалне путне мреже за 2025. годину </w:t>
            </w:r>
          </w:p>
        </w:tc>
      </w:tr>
      <w:tr w:rsidR="00EB5D4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Током 2025. године, за набавку, превоз и уградњу посипног материјала за путеве првог, другог и трећег реда, некатегорисане путеве и градске улице са макадамским застором планирана су средства у износу од 240.000,00 КМ. Поред набавке, превоза и уградње поси</w:t>
            </w:r>
            <w:r>
              <w:rPr>
                <w:rFonts w:ascii="Times New Roman" w:eastAsia="Times New Roman" w:hAnsi="Times New Roman" w:cs="Times New Roman"/>
                <w:color w:val="000000"/>
                <w:sz w:val="20"/>
                <w:szCs w:val="20"/>
              </w:rPr>
              <w:t xml:space="preserve">пног материјала планирани су и радови на машинском равнању путева (грејдер) за које је планирано 10.000,00 КМ. Укупна средства планирана на наведене намјене током 2025. године износила су 250.000,00 КМ од чега је на крају године укупно утрошено 247.775,75 </w:t>
            </w:r>
            <w:r>
              <w:rPr>
                <w:rFonts w:ascii="Times New Roman" w:eastAsia="Times New Roman" w:hAnsi="Times New Roman" w:cs="Times New Roman"/>
                <w:color w:val="000000"/>
                <w:sz w:val="20"/>
                <w:szCs w:val="20"/>
              </w:rPr>
              <w:t xml:space="preserve">КМ. </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Набавка грађевинског материјала планирана је за додјелу мјесним заједницама или групи грађана гдје су мјештани заинтересовани извршити реконструкцију оштећених или изградњу нових пропуста, санацију мостова на локалним и некатегорисаним путевима (даска</w:t>
            </w:r>
            <w:r>
              <w:rPr>
                <w:rFonts w:ascii="Times New Roman" w:eastAsia="Times New Roman" w:hAnsi="Times New Roman" w:cs="Times New Roman"/>
                <w:color w:val="000000"/>
                <w:sz w:val="20"/>
                <w:szCs w:val="20"/>
              </w:rPr>
              <w:t>, дрвена грађа, цемент, арматурне мреже, бетонско жељезо, шљунак и бетонске цијеви), као и набавка грађевинског материјала за помоћ у изградњи или адаптацији других објеката (цријеп, летва, кровни лим, блок, цигла, креч и други материјал потребан за изград</w:t>
            </w:r>
            <w:r>
              <w:rPr>
                <w:rFonts w:ascii="Times New Roman" w:eastAsia="Times New Roman" w:hAnsi="Times New Roman" w:cs="Times New Roman"/>
                <w:color w:val="000000"/>
                <w:sz w:val="20"/>
                <w:szCs w:val="20"/>
              </w:rPr>
              <w:t>њу или адаптацију објеката). За набавку грађевинског материјала за изградњу пропуста, мостова и помоћ у изградњи или адаптацији других објеката, током 2025. године, планирана су средства у износу од 25.000,00 КМ од чега је на крају године реализовано 26.61</w:t>
            </w:r>
            <w:r>
              <w:rPr>
                <w:rFonts w:ascii="Times New Roman" w:eastAsia="Times New Roman" w:hAnsi="Times New Roman" w:cs="Times New Roman"/>
                <w:color w:val="000000"/>
                <w:sz w:val="20"/>
                <w:szCs w:val="20"/>
              </w:rPr>
              <w:t>9,77 КМ.</w:t>
            </w:r>
          </w:p>
        </w:tc>
      </w:tr>
      <w:tr w:rsidR="00EB5D4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pStyle w:val="CommentText"/>
            </w:pPr>
            <w:r>
              <w:rPr>
                <w:rFonts w:ascii="Times New Roman" w:eastAsia="Times New Roman" w:hAnsi="Times New Roman" w:cs="Times New Roman"/>
                <w:b/>
                <w:bCs/>
                <w:color w:val="000000"/>
              </w:rPr>
              <w:t>1.6. Позитивни налази</w:t>
            </w:r>
            <w:r>
              <w:rPr>
                <w:rFonts w:ascii="Times New Roman" w:eastAsia="Times New Roman" w:hAnsi="Times New Roman" w:cs="Times New Roman"/>
                <w:color w:val="000000"/>
              </w:rPr>
              <w:t>:</w:t>
            </w:r>
          </w:p>
          <w:p w:rsidR="00EB5D48" w:rsidRDefault="00EB5D48">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Извоз посипног материјала се ради искључиво на основу издатог налога, а количине извезеног материјала одговарају износима наведеним у достављеним доказима о извозу. Набавка грађевинског материјала је ишла преко наруџбеница, а упоредним прегледом са достављ</w:t>
            </w:r>
            <w:r>
              <w:rPr>
                <w:rFonts w:ascii="Times New Roman" w:eastAsia="Times New Roman" w:hAnsi="Times New Roman" w:cs="Times New Roman"/>
                <w:color w:val="000000"/>
                <w:sz w:val="20"/>
                <w:szCs w:val="20"/>
              </w:rPr>
              <w:t xml:space="preserve">еним рачунима и отпремницама утврђено је да је набављено и преузето све што је наручено. </w:t>
            </w:r>
          </w:p>
        </w:tc>
      </w:tr>
      <w:tr w:rsidR="00EB5D4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rPr>
                <w:rFonts w:ascii="Times New Roman" w:eastAsia="Times New Roman" w:hAnsi="Times New Roman" w:cs="Times New Roman"/>
                <w:color w:val="000000"/>
                <w:sz w:val="20"/>
                <w:szCs w:val="20"/>
              </w:rPr>
            </w:pPr>
          </w:p>
        </w:tc>
      </w:tr>
      <w:tr w:rsidR="00EB5D4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rPr>
                <w:rFonts w:ascii="Times New Roman" w:eastAsia="Times New Roman" w:hAnsi="Times New Roman" w:cs="Times New Roman"/>
                <w:color w:val="000000"/>
                <w:sz w:val="20"/>
                <w:szCs w:val="20"/>
              </w:rPr>
            </w:pPr>
          </w:p>
        </w:tc>
      </w:tr>
      <w:tr w:rsidR="00EB5D4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rPr>
                <w:rFonts w:ascii="Times New Roman" w:eastAsia="Times New Roman" w:hAnsi="Times New Roman" w:cs="Times New Roman"/>
                <w:color w:val="000000"/>
                <w:sz w:val="20"/>
                <w:szCs w:val="20"/>
              </w:rPr>
            </w:pPr>
          </w:p>
        </w:tc>
      </w:tr>
      <w:tr w:rsidR="00EB5D48">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EB5D48" w:rsidRDefault="00747F1D">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EB5D4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jc w:val="both"/>
              <w:rPr>
                <w:rFonts w:ascii="Times New Roman" w:eastAsia="Times New Roman" w:hAnsi="Times New Roman" w:cs="Times New Roman"/>
                <w:color w:val="000000"/>
                <w:sz w:val="24"/>
                <w:szCs w:val="24"/>
              </w:rPr>
            </w:pPr>
          </w:p>
        </w:tc>
      </w:tr>
      <w:tr w:rsidR="00EB5D4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издаје налог за извоз посипног материјала.</w:t>
            </w:r>
          </w:p>
        </w:tc>
      </w:tr>
      <w:tr w:rsidR="00EB5D48">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У ток</w:t>
            </w:r>
            <w:r>
              <w:rPr>
                <w:rFonts w:ascii="Times New Roman" w:eastAsia="Times New Roman" w:hAnsi="Times New Roman" w:cs="Times New Roman"/>
                <w:color w:val="000000"/>
                <w:sz w:val="20"/>
                <w:szCs w:val="20"/>
              </w:rPr>
              <w:t xml:space="preserve">у 2025. године реализована су два уговора склопљена са МГ Минд доо Мркоњић Град ради набавке, транспорта и уградње посипног материјала (јаловине) за одржавање локалне путне мреже на подручју града Прњавор. Да би се уговор реализовао, одјељење издаје налог </w:t>
            </w:r>
            <w:r>
              <w:rPr>
                <w:rFonts w:ascii="Times New Roman" w:eastAsia="Times New Roman" w:hAnsi="Times New Roman" w:cs="Times New Roman"/>
                <w:color w:val="000000"/>
                <w:sz w:val="20"/>
                <w:szCs w:val="20"/>
              </w:rPr>
              <w:t>на основу усменог захтјева странке у ком је дефинисана количина посипног материјала које треба испоручити на траженој релацији. У ревидираном узорку од 45 случајно одабраних налога за извоз посипног материјала из 2025. године утврђено је, на основу достављ</w:t>
            </w:r>
            <w:r>
              <w:rPr>
                <w:rFonts w:ascii="Times New Roman" w:eastAsia="Times New Roman" w:hAnsi="Times New Roman" w:cs="Times New Roman"/>
                <w:color w:val="000000"/>
                <w:sz w:val="20"/>
                <w:szCs w:val="20"/>
              </w:rPr>
              <w:t>ених отпремница за испоручени материјал од стране добављача, да је извезено онолико кубних метара посипног материјала колико је дефинисано у налогу на траженим релацијама.</w:t>
            </w:r>
          </w:p>
        </w:tc>
      </w:tr>
      <w:tr w:rsidR="00EB5D48">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Препоруке </w:t>
            </w:r>
            <w:r w:rsidR="00DF6440">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DF6440">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tc>
      </w:tr>
      <w:tr w:rsidR="00EB5D4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w:t>
            </w:r>
            <w:r>
              <w:rPr>
                <w:rFonts w:ascii="Times New Roman" w:eastAsia="Times New Roman" w:hAnsi="Times New Roman" w:cs="Times New Roman"/>
                <w:color w:val="000000"/>
                <w:sz w:val="20"/>
                <w:szCs w:val="20"/>
              </w:rPr>
              <w:t xml:space="preserve"> постоје извјештаји о реализацији издатих налога за извоз посипног материјала.</w:t>
            </w:r>
          </w:p>
        </w:tc>
      </w:tr>
      <w:tr w:rsidR="00EB5D48">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w:t>
            </w:r>
            <w:r>
              <w:rPr>
                <w:rFonts w:ascii="Times New Roman" w:eastAsia="Times New Roman" w:hAnsi="Times New Roman" w:cs="Times New Roman"/>
                <w:color w:val="000000"/>
                <w:sz w:val="20"/>
                <w:szCs w:val="20"/>
              </w:rPr>
              <w:t>Након издавања налога за извоз посипног материјала и достављања отпремница као доказ да је налог извршен, добављач и Одјељење за стамбено-комуналне послове и инвестиције усаглашавају привремене ситуације у којима је детаљно наведено количина извезеног поси</w:t>
            </w:r>
            <w:r>
              <w:rPr>
                <w:rFonts w:ascii="Times New Roman" w:eastAsia="Times New Roman" w:hAnsi="Times New Roman" w:cs="Times New Roman"/>
                <w:color w:val="000000"/>
                <w:sz w:val="20"/>
                <w:szCs w:val="20"/>
              </w:rPr>
              <w:t>пног материјала са цијеном која се треба наплатити. Након усаглашавања привремена ситуација се исплаћује путем рачуна, а постоји онолико привремених ситуација колико се кумулативно може доћи до уговореног износа средстава. У 2025. години, први уговор са МГ</w:t>
            </w:r>
            <w:r>
              <w:rPr>
                <w:rFonts w:ascii="Times New Roman" w:eastAsia="Times New Roman" w:hAnsi="Times New Roman" w:cs="Times New Roman"/>
                <w:color w:val="000000"/>
                <w:sz w:val="20"/>
                <w:szCs w:val="20"/>
              </w:rPr>
              <w:t xml:space="preserve"> Минд је износио 150.000,00 КМ са ПДВ-ом, а други уговор 84.098,27 КМ са ПДВ-ом.</w:t>
            </w:r>
          </w:p>
        </w:tc>
      </w:tr>
      <w:tr w:rsidR="00EB5D48">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Препоруке </w:t>
            </w:r>
            <w:r w:rsidR="005859E9">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5859E9">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tc>
      </w:tr>
      <w:tr w:rsidR="00EB5D4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постоје наруџбенице за набавку грађевинског </w:t>
            </w:r>
            <w:r>
              <w:rPr>
                <w:rFonts w:ascii="Times New Roman" w:eastAsia="Times New Roman" w:hAnsi="Times New Roman" w:cs="Times New Roman"/>
                <w:color w:val="000000"/>
                <w:sz w:val="20"/>
                <w:szCs w:val="20"/>
              </w:rPr>
              <w:lastRenderedPageBreak/>
              <w:t xml:space="preserve">материјала за израду мостова, пропуста и </w:t>
            </w:r>
            <w:r>
              <w:rPr>
                <w:rFonts w:ascii="Times New Roman" w:eastAsia="Times New Roman" w:hAnsi="Times New Roman" w:cs="Times New Roman"/>
                <w:color w:val="000000"/>
                <w:sz w:val="20"/>
                <w:szCs w:val="20"/>
              </w:rPr>
              <w:t>других објеката.</w:t>
            </w:r>
          </w:p>
        </w:tc>
      </w:tr>
      <w:tr w:rsidR="00EB5D48">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lastRenderedPageBreak/>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 Током 2025. године реализована су два уговора са Еурогранд доо Прњавор за испоруку грађевинског материјала за реконструкцију и изградњу пропуста, санацију мостова и помоћ у изградњи и адаптацији других објеката. Наведени уговори су се реализовали искљу</w:t>
            </w:r>
            <w:r>
              <w:rPr>
                <w:rFonts w:ascii="Times New Roman" w:eastAsia="Times New Roman" w:hAnsi="Times New Roman" w:cs="Times New Roman"/>
                <w:color w:val="000000"/>
                <w:sz w:val="20"/>
                <w:szCs w:val="20"/>
              </w:rPr>
              <w:t>чиво путем наруџбеница које је потписао начелник одјељења у којима је прецизирано који грађевински материјал је потребан, у које сврхе и ко је особа која ће преузети робу. Реализација наруџбеница прати рачун добављача и отпремница потписана од стране особе</w:t>
            </w:r>
            <w:r>
              <w:rPr>
                <w:rFonts w:ascii="Times New Roman" w:eastAsia="Times New Roman" w:hAnsi="Times New Roman" w:cs="Times New Roman"/>
                <w:color w:val="000000"/>
                <w:sz w:val="20"/>
                <w:szCs w:val="20"/>
              </w:rPr>
              <w:t xml:space="preserve"> која је робу издала и особе која је робу преузела. У току 2025. године издато је укупно 26 наруџбеница које су накнадно пратиле фактуре добављача према којима је набављено све оно што је тражено у наруџбеницама, а исто су пратиле и отпремнице о преузимању</w:t>
            </w:r>
            <w:r>
              <w:rPr>
                <w:rFonts w:ascii="Times New Roman" w:eastAsia="Times New Roman" w:hAnsi="Times New Roman" w:cs="Times New Roman"/>
                <w:color w:val="000000"/>
                <w:sz w:val="20"/>
                <w:szCs w:val="20"/>
              </w:rPr>
              <w:t xml:space="preserve"> робе. </w:t>
            </w:r>
          </w:p>
        </w:tc>
      </w:tr>
      <w:tr w:rsidR="00EB5D48">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Препоруке </w:t>
            </w:r>
            <w:r w:rsidR="00084A33">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084A33">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tc>
      </w:tr>
      <w:tr w:rsidR="00EB5D4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се рјешавају оштећења асфалтних и макадамских путева као и система за одвод површинских вода. </w:t>
            </w:r>
          </w:p>
        </w:tc>
      </w:tr>
      <w:tr w:rsidR="00EB5D48">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одступања </w:t>
            </w:r>
            <w:r>
              <w:rPr>
                <w:rFonts w:ascii="Times New Roman" w:eastAsia="Times New Roman" w:hAnsi="Times New Roman" w:cs="Times New Roman"/>
                <w:color w:val="000000"/>
                <w:sz w:val="20"/>
                <w:szCs w:val="20"/>
              </w:rPr>
              <w:t>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 Крајем сваке године се доноси и усваја Програм одржавања локалне путне мреже за наредну годину у којем буде дефинисана планирана санација оштећ</w:t>
            </w:r>
            <w:r>
              <w:rPr>
                <w:rFonts w:ascii="Times New Roman" w:eastAsia="Times New Roman" w:hAnsi="Times New Roman" w:cs="Times New Roman"/>
                <w:color w:val="000000"/>
                <w:sz w:val="20"/>
                <w:szCs w:val="20"/>
              </w:rPr>
              <w:t>ења асфалтних и макадамских путева као и система за одвод површинских вода. Наведени програм је усклађен са Статутом града Прњавор, али се приликом доношења програма спомињу двије одлуке које нису усклађене и које се и даље позивају на Статут општине Прњав</w:t>
            </w:r>
            <w:r>
              <w:rPr>
                <w:rFonts w:ascii="Times New Roman" w:eastAsia="Times New Roman" w:hAnsi="Times New Roman" w:cs="Times New Roman"/>
                <w:color w:val="000000"/>
                <w:sz w:val="20"/>
                <w:szCs w:val="20"/>
              </w:rPr>
              <w:t>ор, а ради се о Одлуци о управљању, грађењу, реконструкцији, одржавању и заштити локалних и некатегорисаних путева, улица у насељу и путних објеката на њима („Службени гласник општине Прњавор“ број 33/15, 20/17, 22/18 и 20/19) и Одлуци о разврставању локал</w:t>
            </w:r>
            <w:r>
              <w:rPr>
                <w:rFonts w:ascii="Times New Roman" w:eastAsia="Times New Roman" w:hAnsi="Times New Roman" w:cs="Times New Roman"/>
                <w:color w:val="000000"/>
                <w:sz w:val="20"/>
                <w:szCs w:val="20"/>
              </w:rPr>
              <w:t>них путева и улица на подручју општине Прњавор („Службени гласник општине Прњавор“ број 32/15).</w:t>
            </w:r>
          </w:p>
        </w:tc>
      </w:tr>
      <w:tr w:rsidR="00EB5D48">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t xml:space="preserve">Препоруке </w:t>
            </w:r>
            <w:r w:rsidR="00084A33">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084A33">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 Препоручује се ажурирање и усклађивање Одлуке о управљању, грађењу, реконструкцији, одржавању и </w:t>
            </w:r>
            <w:r>
              <w:rPr>
                <w:rFonts w:ascii="Times New Roman" w:eastAsia="Times New Roman" w:hAnsi="Times New Roman" w:cs="Times New Roman"/>
                <w:color w:val="000000"/>
                <w:sz w:val="20"/>
                <w:szCs w:val="20"/>
              </w:rPr>
              <w:t xml:space="preserve">заштити локалних и некатегорисаних путева, улица у насељу и путних </w:t>
            </w:r>
            <w:r>
              <w:rPr>
                <w:rFonts w:ascii="Times New Roman" w:eastAsia="Times New Roman" w:hAnsi="Times New Roman" w:cs="Times New Roman"/>
                <w:color w:val="000000"/>
                <w:sz w:val="20"/>
                <w:szCs w:val="20"/>
              </w:rPr>
              <w:lastRenderedPageBreak/>
              <w:t>објеката на њима („Службени гласник општине Прњавор“ број 33/15, 20/17, 22/18 и 20/19).</w:t>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Препоручује се ажурирање и усклађивање Одлуке о разврставању локалних путева и улица на подручју </w:t>
            </w:r>
            <w:r>
              <w:rPr>
                <w:rFonts w:ascii="Times New Roman" w:eastAsia="Times New Roman" w:hAnsi="Times New Roman" w:cs="Times New Roman"/>
                <w:color w:val="000000"/>
                <w:sz w:val="20"/>
                <w:szCs w:val="20"/>
              </w:rPr>
              <w:t>општине Прњавор („Службени гласник општине Прњавор“ број 32/15).</w:t>
            </w:r>
          </w:p>
        </w:tc>
      </w:tr>
      <w:tr w:rsidR="00EB5D4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pPr>
            <w:r>
              <w:rPr>
                <w:rFonts w:ascii="Times New Roman" w:eastAsia="Times New Roman" w:hAnsi="Times New Roman" w:cs="Times New Roman"/>
                <w:b/>
                <w:bCs/>
                <w:color w:val="000000"/>
                <w:sz w:val="20"/>
                <w:szCs w:val="20"/>
              </w:rPr>
              <w:lastRenderedPageBreak/>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Препоручује се ажурирање и усклађивање Одлуке о управљању, грађењу, реконструкцији, одржавању и заштити локалних и некатегорисаних путева, улица у насељу и путних објеката на њ</w:t>
            </w:r>
            <w:r>
              <w:rPr>
                <w:rFonts w:ascii="Times New Roman" w:eastAsia="Times New Roman" w:hAnsi="Times New Roman" w:cs="Times New Roman"/>
                <w:color w:val="000000"/>
                <w:sz w:val="20"/>
                <w:szCs w:val="20"/>
              </w:rPr>
              <w:t>има („Службени гласник општине Прњавор“ број 33/15, 20/17, 22/18 и 20/19).</w:t>
            </w:r>
            <w:r>
              <w:rPr>
                <w:rFonts w:ascii="Times New Roman" w:eastAsia="Times New Roman" w:hAnsi="Times New Roman" w:cs="Times New Roman"/>
                <w:color w:val="000000"/>
                <w:sz w:val="20"/>
                <w:szCs w:val="20"/>
              </w:rPr>
              <w:br/>
            </w:r>
          </w:p>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Препоручује се ажурирање и усклађивање Одлуке о разврставању локалних путева и улица на подручју општине Прњавор („Службени гласник општине Прњавор“ број 32/15).</w:t>
            </w:r>
            <w:r>
              <w:rPr>
                <w:rFonts w:ascii="Times New Roman" w:eastAsia="Times New Roman" w:hAnsi="Times New Roman" w:cs="Times New Roman"/>
                <w:color w:val="000000"/>
                <w:sz w:val="20"/>
                <w:szCs w:val="20"/>
              </w:rPr>
              <w:br/>
            </w:r>
          </w:p>
        </w:tc>
      </w:tr>
      <w:tr w:rsidR="00EB5D4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747F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tc>
      </w:tr>
      <w:tr w:rsidR="00EB5D48">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EB5D48" w:rsidRDefault="00747F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EB5D48">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EB5D48" w:rsidRDefault="00EB5D48">
            <w:pPr>
              <w:spacing w:after="0" w:line="240" w:lineRule="auto"/>
              <w:rPr>
                <w:rFonts w:ascii="Times New Roman" w:eastAsia="Times New Roman" w:hAnsi="Times New Roman" w:cs="Times New Roman"/>
                <w:color w:val="000000"/>
                <w:sz w:val="24"/>
                <w:szCs w:val="24"/>
              </w:rPr>
            </w:pPr>
          </w:p>
        </w:tc>
      </w:tr>
    </w:tbl>
    <w:p w:rsidR="00EB5D48" w:rsidRPr="00094FFC" w:rsidRDefault="00EB5D48">
      <w:pPr>
        <w:rPr>
          <w:lang w:val="sr-Cyrl-BA"/>
        </w:rPr>
      </w:pPr>
    </w:p>
    <w:p w:rsidR="00EB5D48" w:rsidRDefault="00EB5D48"/>
    <w:tbl>
      <w:tblPr>
        <w:tblW w:w="13068" w:type="dxa"/>
        <w:tblLook w:val="0000"/>
      </w:tblPr>
      <w:tblGrid>
        <w:gridCol w:w="2157"/>
        <w:gridCol w:w="2158"/>
        <w:gridCol w:w="2158"/>
        <w:gridCol w:w="119"/>
        <w:gridCol w:w="2039"/>
        <w:gridCol w:w="2157"/>
        <w:gridCol w:w="2280"/>
      </w:tblGrid>
      <w:tr w:rsidR="00EB5D48">
        <w:tc>
          <w:tcPr>
            <w:tcW w:w="2157" w:type="dxa"/>
            <w:shd w:val="clear" w:color="auto" w:fill="auto"/>
          </w:tcPr>
          <w:p w:rsidR="00EB5D48" w:rsidRDefault="00EB5D48">
            <w:pPr>
              <w:spacing w:after="0" w:line="240" w:lineRule="auto"/>
              <w:jc w:val="center"/>
            </w:pPr>
          </w:p>
        </w:tc>
        <w:tc>
          <w:tcPr>
            <w:tcW w:w="2158" w:type="dxa"/>
            <w:tcBorders>
              <w:bottom w:val="single" w:sz="4" w:space="0" w:color="00000A"/>
            </w:tcBorders>
            <w:shd w:val="clear" w:color="auto" w:fill="auto"/>
          </w:tcPr>
          <w:p w:rsidR="00EB5D48" w:rsidRDefault="00EB5D48">
            <w:pPr>
              <w:spacing w:after="0" w:line="240" w:lineRule="auto"/>
              <w:jc w:val="center"/>
            </w:pPr>
          </w:p>
        </w:tc>
        <w:tc>
          <w:tcPr>
            <w:tcW w:w="2158" w:type="dxa"/>
            <w:shd w:val="clear" w:color="auto" w:fill="auto"/>
          </w:tcPr>
          <w:p w:rsidR="00EB5D48" w:rsidRDefault="00EB5D48">
            <w:pPr>
              <w:spacing w:after="0" w:line="240" w:lineRule="auto"/>
              <w:jc w:val="center"/>
            </w:pPr>
          </w:p>
        </w:tc>
        <w:tc>
          <w:tcPr>
            <w:tcW w:w="2158" w:type="dxa"/>
            <w:gridSpan w:val="2"/>
            <w:shd w:val="clear" w:color="auto" w:fill="auto"/>
          </w:tcPr>
          <w:p w:rsidR="00EB5D48" w:rsidRDefault="00EB5D48">
            <w:pPr>
              <w:spacing w:after="0" w:line="240" w:lineRule="auto"/>
              <w:jc w:val="center"/>
            </w:pPr>
          </w:p>
        </w:tc>
        <w:tc>
          <w:tcPr>
            <w:tcW w:w="2157" w:type="dxa"/>
            <w:tcBorders>
              <w:bottom w:val="single" w:sz="4" w:space="0" w:color="00000A"/>
            </w:tcBorders>
            <w:shd w:val="clear" w:color="auto" w:fill="auto"/>
          </w:tcPr>
          <w:p w:rsidR="00EB5D48" w:rsidRDefault="00EB5D48">
            <w:pPr>
              <w:spacing w:after="0" w:line="240" w:lineRule="auto"/>
              <w:jc w:val="center"/>
            </w:pPr>
          </w:p>
        </w:tc>
        <w:tc>
          <w:tcPr>
            <w:tcW w:w="2280" w:type="dxa"/>
            <w:shd w:val="clear" w:color="auto" w:fill="auto"/>
          </w:tcPr>
          <w:p w:rsidR="00EB5D48" w:rsidRDefault="00EB5D48">
            <w:pPr>
              <w:spacing w:after="0" w:line="240" w:lineRule="auto"/>
              <w:jc w:val="center"/>
            </w:pPr>
          </w:p>
        </w:tc>
      </w:tr>
      <w:tr w:rsidR="00EB5D48">
        <w:tc>
          <w:tcPr>
            <w:tcW w:w="6473" w:type="dxa"/>
            <w:gridSpan w:val="3"/>
            <w:shd w:val="clear" w:color="auto" w:fill="auto"/>
          </w:tcPr>
          <w:p w:rsidR="00EB5D48" w:rsidRPr="00094FFC" w:rsidRDefault="00EB5D48">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EB5D48" w:rsidRPr="00094FFC" w:rsidRDefault="00094FFC">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EB5D48">
        <w:trPr>
          <w:trHeight w:val="1383"/>
        </w:trPr>
        <w:tc>
          <w:tcPr>
            <w:tcW w:w="13068" w:type="dxa"/>
            <w:gridSpan w:val="7"/>
            <w:shd w:val="clear" w:color="auto" w:fill="auto"/>
          </w:tcPr>
          <w:p w:rsidR="00EB5D48" w:rsidRDefault="00EB5D48">
            <w:pPr>
              <w:spacing w:after="0" w:line="240" w:lineRule="auto"/>
            </w:pPr>
          </w:p>
        </w:tc>
      </w:tr>
      <w:tr w:rsidR="00EB5D48">
        <w:tc>
          <w:tcPr>
            <w:tcW w:w="6592" w:type="dxa"/>
            <w:gridSpan w:val="4"/>
            <w:shd w:val="clear" w:color="auto" w:fill="auto"/>
          </w:tcPr>
          <w:p w:rsidR="00EB5D48" w:rsidRDefault="00747F1D">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EB5D48" w:rsidRDefault="00EB5D48">
            <w:pPr>
              <w:spacing w:after="0" w:line="240" w:lineRule="auto"/>
            </w:pPr>
          </w:p>
        </w:tc>
      </w:tr>
      <w:tr w:rsidR="00EB5D48">
        <w:trPr>
          <w:trHeight w:val="960"/>
        </w:trPr>
        <w:tc>
          <w:tcPr>
            <w:tcW w:w="13068" w:type="dxa"/>
            <w:gridSpan w:val="7"/>
            <w:shd w:val="clear" w:color="auto" w:fill="auto"/>
          </w:tcPr>
          <w:p w:rsidR="00EB5D48" w:rsidRPr="001C6926" w:rsidRDefault="00747F1D">
            <w:pPr>
              <w:spacing w:after="0" w:line="240" w:lineRule="auto"/>
              <w:rPr>
                <w:rFonts w:ascii="Times New Roman" w:eastAsia="Times New Roman" w:hAnsi="Times New Roman" w:cs="Times New Roman"/>
                <w:color w:val="000000"/>
                <w:lang w:val="sr-Cyrl-BA"/>
              </w:rPr>
            </w:pPr>
            <w:r>
              <w:rPr>
                <w:rFonts w:ascii="Times New Roman" w:eastAsia="Times New Roman" w:hAnsi="Times New Roman" w:cs="Times New Roman"/>
                <w:color w:val="000000"/>
              </w:rPr>
              <w:t>Одјељење за стамбено- комуналне послове и инвестиције</w:t>
            </w:r>
            <w:r w:rsidR="001C6926">
              <w:rPr>
                <w:rFonts w:ascii="Times New Roman" w:eastAsia="Times New Roman" w:hAnsi="Times New Roman" w:cs="Times New Roman"/>
                <w:color w:val="000000"/>
                <w:lang w:val="sr-Cyrl-BA"/>
              </w:rPr>
              <w:t>,</w:t>
            </w:r>
          </w:p>
          <w:p w:rsidR="00EB5D48" w:rsidRDefault="00747F1D">
            <w:pPr>
              <w:spacing w:after="0" w:line="240" w:lineRule="auto"/>
              <w:rPr>
                <w:rFonts w:ascii="Times New Roman" w:hAnsi="Times New Roman" w:cs="Times New Roman"/>
              </w:rPr>
            </w:pPr>
            <w:r>
              <w:rPr>
                <w:rFonts w:ascii="Times New Roman" w:hAnsi="Times New Roman" w:cs="Times New Roman"/>
              </w:rPr>
              <w:t>Руководилац субјекта,</w:t>
            </w:r>
          </w:p>
          <w:p w:rsidR="00EB5D48" w:rsidRDefault="00747F1D">
            <w:pPr>
              <w:spacing w:after="0" w:line="240" w:lineRule="auto"/>
              <w:rPr>
                <w:rFonts w:ascii="Times New Roman" w:hAnsi="Times New Roman" w:cs="Times New Roman"/>
              </w:rPr>
            </w:pPr>
            <w:r>
              <w:rPr>
                <w:rFonts w:ascii="Times New Roman" w:hAnsi="Times New Roman" w:cs="Times New Roman"/>
              </w:rPr>
              <w:t>а/а</w:t>
            </w:r>
          </w:p>
        </w:tc>
      </w:tr>
    </w:tbl>
    <w:p w:rsidR="00EB5D48" w:rsidRPr="00094FFC" w:rsidRDefault="00EB5D48">
      <w:pPr>
        <w:rPr>
          <w:lang w:val="sr-Cyrl-BA"/>
        </w:rPr>
      </w:pPr>
    </w:p>
    <w:sectPr w:rsidR="00EB5D48" w:rsidRPr="00094FFC" w:rsidSect="00EB5D48">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F1D" w:rsidRDefault="00747F1D" w:rsidP="00EB5D48">
      <w:pPr>
        <w:spacing w:after="0" w:line="240" w:lineRule="auto"/>
      </w:pPr>
      <w:r>
        <w:separator/>
      </w:r>
    </w:p>
  </w:endnote>
  <w:endnote w:type="continuationSeparator" w:id="1">
    <w:p w:rsidR="00747F1D" w:rsidRDefault="00747F1D" w:rsidP="00EB5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F1D" w:rsidRDefault="00747F1D" w:rsidP="00EB5D48">
      <w:pPr>
        <w:spacing w:after="0" w:line="240" w:lineRule="auto"/>
      </w:pPr>
      <w:r>
        <w:separator/>
      </w:r>
    </w:p>
  </w:footnote>
  <w:footnote w:type="continuationSeparator" w:id="1">
    <w:p w:rsidR="00747F1D" w:rsidRDefault="00747F1D" w:rsidP="00EB5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EB5D48">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EB5D48" w:rsidRDefault="00747F1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EB5D48">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EB5D48" w:rsidRDefault="00747F1D">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EB5D48" w:rsidRDefault="00EB5D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33CAB"/>
    <w:multiLevelType w:val="multilevel"/>
    <w:tmpl w:val="38081E3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4683555A"/>
    <w:multiLevelType w:val="multilevel"/>
    <w:tmpl w:val="51A239E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5D48"/>
    <w:rsid w:val="00084A33"/>
    <w:rsid w:val="00094FFC"/>
    <w:rsid w:val="001C6926"/>
    <w:rsid w:val="005859E9"/>
    <w:rsid w:val="00747F1D"/>
    <w:rsid w:val="00DF6440"/>
    <w:rsid w:val="00EB5D48"/>
    <w:rsid w:val="00F83D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D48"/>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EB5D48"/>
  </w:style>
  <w:style w:type="character" w:customStyle="1" w:styleId="FooterChar">
    <w:name w:val="Footer Char"/>
    <w:basedOn w:val="DefaultParagraphFont"/>
    <w:qFormat/>
    <w:rsid w:val="00EB5D48"/>
  </w:style>
  <w:style w:type="character" w:styleId="CommentReference">
    <w:name w:val="annotation reference"/>
    <w:basedOn w:val="DefaultParagraphFont"/>
    <w:qFormat/>
    <w:rsid w:val="00EB5D48"/>
    <w:rPr>
      <w:sz w:val="16"/>
      <w:szCs w:val="16"/>
    </w:rPr>
  </w:style>
  <w:style w:type="character" w:customStyle="1" w:styleId="CommentTextChar">
    <w:name w:val="Comment Text Char"/>
    <w:basedOn w:val="DefaultParagraphFont"/>
    <w:qFormat/>
    <w:rsid w:val="00EB5D48"/>
    <w:rPr>
      <w:sz w:val="20"/>
      <w:szCs w:val="20"/>
    </w:rPr>
  </w:style>
  <w:style w:type="character" w:customStyle="1" w:styleId="CommentSubjectChar">
    <w:name w:val="Comment Subject Char"/>
    <w:basedOn w:val="CommentTextChar"/>
    <w:qFormat/>
    <w:rsid w:val="00EB5D48"/>
    <w:rPr>
      <w:b/>
      <w:bCs/>
      <w:sz w:val="20"/>
      <w:szCs w:val="20"/>
    </w:rPr>
  </w:style>
  <w:style w:type="character" w:customStyle="1" w:styleId="BalloonTextChar">
    <w:name w:val="Balloon Text Char"/>
    <w:basedOn w:val="DefaultParagraphFont"/>
    <w:qFormat/>
    <w:rsid w:val="00EB5D48"/>
    <w:rPr>
      <w:rFonts w:ascii="Segoe UI" w:hAnsi="Segoe UI" w:cs="Segoe UI"/>
      <w:sz w:val="18"/>
      <w:szCs w:val="18"/>
    </w:rPr>
  </w:style>
  <w:style w:type="paragraph" w:customStyle="1" w:styleId="Heading">
    <w:name w:val="Heading"/>
    <w:basedOn w:val="Normal"/>
    <w:next w:val="TextBody"/>
    <w:qFormat/>
    <w:rsid w:val="00EB5D48"/>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EB5D48"/>
    <w:pPr>
      <w:spacing w:after="140" w:line="288" w:lineRule="auto"/>
    </w:pPr>
  </w:style>
  <w:style w:type="paragraph" w:styleId="List">
    <w:name w:val="List"/>
    <w:basedOn w:val="TextBody"/>
    <w:rsid w:val="00EB5D48"/>
  </w:style>
  <w:style w:type="paragraph" w:styleId="Caption">
    <w:name w:val="caption"/>
    <w:basedOn w:val="Normal"/>
    <w:qFormat/>
    <w:rsid w:val="00EB5D48"/>
    <w:pPr>
      <w:suppressLineNumbers/>
      <w:spacing w:before="120" w:after="120"/>
    </w:pPr>
    <w:rPr>
      <w:i/>
      <w:iCs/>
      <w:sz w:val="24"/>
      <w:szCs w:val="24"/>
    </w:rPr>
  </w:style>
  <w:style w:type="paragraph" w:customStyle="1" w:styleId="Index">
    <w:name w:val="Index"/>
    <w:basedOn w:val="Normal"/>
    <w:qFormat/>
    <w:rsid w:val="00EB5D48"/>
    <w:pPr>
      <w:suppressLineNumbers/>
    </w:pPr>
  </w:style>
  <w:style w:type="paragraph" w:styleId="Header">
    <w:name w:val="header"/>
    <w:basedOn w:val="Normal"/>
    <w:rsid w:val="00EB5D48"/>
    <w:pPr>
      <w:tabs>
        <w:tab w:val="center" w:pos="4680"/>
        <w:tab w:val="right" w:pos="9360"/>
      </w:tabs>
      <w:spacing w:after="0" w:line="240" w:lineRule="auto"/>
    </w:pPr>
  </w:style>
  <w:style w:type="paragraph" w:styleId="Footer">
    <w:name w:val="footer"/>
    <w:basedOn w:val="Normal"/>
    <w:rsid w:val="00EB5D48"/>
    <w:pPr>
      <w:tabs>
        <w:tab w:val="center" w:pos="4680"/>
        <w:tab w:val="right" w:pos="9360"/>
      </w:tabs>
      <w:spacing w:after="0" w:line="240" w:lineRule="auto"/>
    </w:pPr>
  </w:style>
  <w:style w:type="paragraph" w:styleId="CommentText">
    <w:name w:val="annotation text"/>
    <w:basedOn w:val="Normal"/>
    <w:qFormat/>
    <w:rsid w:val="00EB5D48"/>
    <w:pPr>
      <w:spacing w:line="240" w:lineRule="auto"/>
    </w:pPr>
    <w:rPr>
      <w:sz w:val="20"/>
      <w:szCs w:val="20"/>
    </w:rPr>
  </w:style>
  <w:style w:type="paragraph" w:styleId="CommentSubject">
    <w:name w:val="annotation subject"/>
    <w:basedOn w:val="CommentText"/>
    <w:qFormat/>
    <w:rsid w:val="00EB5D48"/>
    <w:rPr>
      <w:b/>
      <w:bCs/>
    </w:rPr>
  </w:style>
  <w:style w:type="paragraph" w:styleId="BalloonText">
    <w:name w:val="Balloon Text"/>
    <w:basedOn w:val="Normal"/>
    <w:qFormat/>
    <w:rsid w:val="00EB5D48"/>
    <w:pPr>
      <w:spacing w:after="0" w:line="240" w:lineRule="auto"/>
    </w:pPr>
    <w:rPr>
      <w:rFonts w:ascii="Segoe UI" w:hAnsi="Segoe UI" w:cs="Segoe UI"/>
      <w:sz w:val="18"/>
      <w:szCs w:val="18"/>
    </w:rPr>
  </w:style>
  <w:style w:type="paragraph" w:styleId="ListParagraph">
    <w:name w:val="List Paragraph"/>
    <w:basedOn w:val="Normal"/>
    <w:qFormat/>
    <w:rsid w:val="00EB5D48"/>
    <w:pPr>
      <w:ind w:left="720"/>
      <w:contextualSpacing/>
    </w:pPr>
  </w:style>
  <w:style w:type="paragraph" w:customStyle="1" w:styleId="TableContents">
    <w:name w:val="Table Contents"/>
    <w:basedOn w:val="Normal"/>
    <w:qFormat/>
    <w:rsid w:val="00EB5D4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6</Pages>
  <Words>1305</Words>
  <Characters>7444</Characters>
  <Application>Microsoft Office Word</Application>
  <DocSecurity>0</DocSecurity>
  <Lines>62</Lines>
  <Paragraphs>17</Paragraphs>
  <ScaleCrop>false</ScaleCrop>
  <Company/>
  <LinksUpToDate>false</LinksUpToDate>
  <CharactersWithSpaces>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97</cp:revision>
  <dcterms:created xsi:type="dcterms:W3CDTF">2021-08-16T14:03:00Z</dcterms:created>
  <dcterms:modified xsi:type="dcterms:W3CDTF">2026-07-16T09:17:00Z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