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31" w:rsidRDefault="00C159C5">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8090"/>
        <w:gridCol w:w="5615"/>
      </w:tblGrid>
      <w:tr w:rsidR="00BD4F3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организације и наплате паркинга на јавним паркиралиштима у Одјељењу за стамбено-комуналне послове и инвестиције </w:t>
            </w:r>
          </w:p>
        </w:tc>
      </w:tr>
      <w:tr w:rsidR="00BD4F3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2B32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r w:rsidR="00C159C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9/2025 - 24</w:t>
            </w:r>
            <w:r w:rsidR="00C159C5">
              <w:rPr>
                <w:rFonts w:ascii="Times New Roman" w:eastAsia="Times New Roman" w:hAnsi="Times New Roman" w:cs="Times New Roman"/>
                <w:color w:val="000000"/>
                <w:sz w:val="20"/>
                <w:szCs w:val="20"/>
              </w:rPr>
              <w:t>/10/2025</w:t>
            </w:r>
          </w:p>
        </w:tc>
      </w:tr>
      <w:tr w:rsidR="00BD4F3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hAnsi="Times New Roman" w:cs="Times New Roman"/>
                <w:sz w:val="20"/>
                <w:szCs w:val="20"/>
              </w:rPr>
            </w:pPr>
            <w:r>
              <w:rPr>
                <w:rFonts w:ascii="Times New Roman" w:hAnsi="Times New Roman" w:cs="Times New Roman"/>
                <w:sz w:val="20"/>
                <w:szCs w:val="20"/>
              </w:rPr>
              <w:t>13-014-287/25</w:t>
            </w:r>
          </w:p>
        </w:tc>
      </w:tr>
      <w:tr w:rsidR="00BD4F3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3A44A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Одјељење за стамбено-комуналне </w:t>
            </w:r>
            <w:r w:rsidR="00C159C5">
              <w:rPr>
                <w:rFonts w:ascii="Times New Roman" w:eastAsia="Times New Roman" w:hAnsi="Times New Roman" w:cs="Times New Roman"/>
                <w:color w:val="000000"/>
                <w:sz w:val="20"/>
                <w:szCs w:val="20"/>
              </w:rPr>
              <w:t>послове и инвестиције</w:t>
            </w:r>
          </w:p>
        </w:tc>
      </w:tr>
      <w:tr w:rsidR="00BD4F31">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BD4F31">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BD4F31">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BD4F31">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w:t>
            </w:r>
            <w:r w:rsidR="000C5981">
              <w:rPr>
                <w:rFonts w:ascii="Times New Roman" w:hAnsi="Times New Roman" w:cs="Times New Roman"/>
              </w:rPr>
              <w:t xml:space="preserve">значајнијих налаза ревизије и </w:t>
            </w:r>
            <w:r w:rsidR="000C5981">
              <w:rPr>
                <w:rFonts w:ascii="Times New Roman" w:hAnsi="Times New Roman" w:cs="Times New Roman"/>
                <w:lang w:val="sr-Cyrl-BA"/>
              </w:rPr>
              <w:t>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color w:val="000000"/>
                <w:sz w:val="20"/>
                <w:szCs w:val="20"/>
              </w:rPr>
              <w:t> Унутар Одјељења за стамбено-комуналне послове и инвестиције организована је наплата паркинга на јавним паркиралиштима, а циљ ове интерне ревизије је да се испита на који начин се примјењује усвојена одлука о наплати паркинга, ко има право на повлаштену карту, а ко је ослобођен од плаћања паркинга, те на који начин се рјешава избјегавање плаћања паркинга.</w:t>
            </w:r>
          </w:p>
        </w:tc>
      </w:tr>
      <w:tr w:rsidR="00BD4F31">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BD4F3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0"/>
                <w:szCs w:val="20"/>
              </w:rPr>
            </w:pPr>
          </w:p>
        </w:tc>
      </w:tr>
      <w:tr w:rsidR="00BD4F3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0"/>
                <w:szCs w:val="20"/>
              </w:rPr>
            </w:pPr>
          </w:p>
        </w:tc>
      </w:tr>
      <w:tr w:rsidR="00BD4F3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Осигурати да се наплаћује паркинг на јавним паркиралиштима.</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Осигурати да су предмети повлаштених паркинг карата и ослобађања од плаћања паркинга ријешени на основу одговарајуће документације.</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Осигурати да се рјешава избјегавање плаћања паркинга.</w:t>
            </w:r>
          </w:p>
        </w:tc>
      </w:tr>
      <w:tr w:rsidR="00BD4F3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BD4F31" w:rsidRDefault="00C159C5">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Закон о комуналним дјелатностима ("Службени гласник Републике Српске", број 124/11 и 100/17)</w:t>
            </w:r>
            <w:r w:rsidR="00A6643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Одлука о условима, начину коришћења, организацији и </w:t>
            </w:r>
            <w:r>
              <w:rPr>
                <w:rFonts w:ascii="Times New Roman" w:eastAsia="Times New Roman" w:hAnsi="Times New Roman" w:cs="Times New Roman"/>
                <w:color w:val="000000"/>
                <w:sz w:val="20"/>
                <w:szCs w:val="20"/>
              </w:rPr>
              <w:lastRenderedPageBreak/>
              <w:t xml:space="preserve">начину наплате паркинга на јавним паркиралиштима на подручју града Прњавор („Службени гласник града Прњавор“ број 23/23 и 29/23), </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Правилник о условима, начину и поступку ослобађања од куповине паркинг карте на територији града Прњавор („Службени гласник града Прњавор“ број 24/23),</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Одлука о комуналним таксама („Службени гласник града Прњавор“ број 8/25),</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- 39 предмета повлаштених карата за паркинг,</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- 12 предмета ослобађања плаћања од паркинга,</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извјештаји комуналне полиције о издатим прекршајним налозима за паркинг за 2025. годину</w:t>
            </w:r>
          </w:p>
        </w:tc>
      </w:tr>
      <w:tr w:rsidR="00BD4F3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color w:val="000000"/>
                <w:sz w:val="20"/>
                <w:szCs w:val="20"/>
              </w:rPr>
              <w:t> Наплата паркирања на подручју града Прњавора може се вршити на више начина и то:</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путем аутомата – уређаја за евиденцију наплате и контролу паркирања са временским ограничењем (аутоматска наплата),</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путем СМС порука,</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продајом карата у трговачким објектима и </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продајом карата код радника паркинг службе.</w:t>
            </w:r>
          </w:p>
          <w:p w:rsidR="00BD4F31" w:rsidRDefault="00BD4F31">
            <w:pPr>
              <w:spacing w:after="0" w:line="240" w:lineRule="auto"/>
              <w:rPr>
                <w:rFonts w:ascii="Times New Roman" w:eastAsia="Times New Roman" w:hAnsi="Times New Roman" w:cs="Times New Roman"/>
                <w:color w:val="000000"/>
                <w:sz w:val="20"/>
                <w:szCs w:val="20"/>
              </w:rPr>
            </w:pP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Наплата паркинга врши се на отвореним јавним паркиралиштима у </w:t>
            </w:r>
            <w:r w:rsidR="00FB7AAA">
              <w:rPr>
                <w:rFonts w:ascii="Times New Roman" w:eastAsia="Times New Roman" w:hAnsi="Times New Roman" w:cs="Times New Roman"/>
                <w:color w:val="000000"/>
                <w:sz w:val="20"/>
                <w:szCs w:val="20"/>
              </w:rPr>
              <w:t>с</w:t>
            </w:r>
            <w:r w:rsidR="00FB7AAA">
              <w:rPr>
                <w:rFonts w:ascii="Times New Roman" w:eastAsia="Times New Roman" w:hAnsi="Times New Roman" w:cs="Times New Roman"/>
                <w:color w:val="000000"/>
                <w:sz w:val="20"/>
                <w:szCs w:val="20"/>
                <w:lang w:val="sr-Cyrl-BA"/>
              </w:rPr>
              <w:t>л</w:t>
            </w:r>
            <w:r>
              <w:rPr>
                <w:rFonts w:ascii="Times New Roman" w:eastAsia="Times New Roman" w:hAnsi="Times New Roman" w:cs="Times New Roman"/>
                <w:color w:val="000000"/>
                <w:sz w:val="20"/>
                <w:szCs w:val="20"/>
              </w:rPr>
              <w:t xml:space="preserve">едећим улицама: Светог Саве, Карађорђева, дијелу улице Милана Наградића, на Тргу српских бораца, Првомајска, Вељка Миланковића, улици код новог објекта Тржнице, Занатског центра I, Стерије Поповића у дијелу улице Живојина Прерадовића, Борачкој и улици Љубинке Рапић. У 2025. години Град Прњавор располаже капацитетом паркинга од 628 паркинг мјеста, од чега је 8 са ознаком за инвалиде и 15 са ознаком „Р“ односно резервисаних.  </w:t>
            </w:r>
          </w:p>
          <w:p w:rsidR="00BD4F31" w:rsidRDefault="00BD4F31">
            <w:pPr>
              <w:spacing w:after="0" w:line="240" w:lineRule="auto"/>
              <w:rPr>
                <w:rFonts w:ascii="Times New Roman" w:eastAsia="Times New Roman" w:hAnsi="Times New Roman" w:cs="Times New Roman"/>
                <w:color w:val="000000"/>
                <w:sz w:val="20"/>
                <w:szCs w:val="20"/>
              </w:rPr>
            </w:pP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Простори наплате паркинга су подијељени у три зоне:</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Прву зону чине следеће улице и паркинг простори: Светог Саве (51 паркинг мјесто), диo улице Милана Наградића (26 паркинг мјеста), Трг српских бораца (70 паркинг мјеста), Карађорђевa улицa од раскрснице са улицом Светог Саве до раскрснице са улицом Лазе Лазаревића (11 паркинг мјеста), паркинг простор у улици Вељке Миланковића јужно од улице </w:t>
            </w:r>
            <w:r>
              <w:rPr>
                <w:rFonts w:ascii="Times New Roman" w:eastAsia="Times New Roman" w:hAnsi="Times New Roman" w:cs="Times New Roman"/>
                <w:color w:val="000000"/>
                <w:sz w:val="20"/>
                <w:szCs w:val="20"/>
              </w:rPr>
              <w:lastRenderedPageBreak/>
              <w:t>Цвјетка Поповића (45 паркинг мјеста) и улица Лазе Лазаревића (23 паркинг мјеста). У првој зони има укупно 226 паркинг мјеста.</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Другу зону чине следеће улице и паркинг простори: Вељке Миланковића сјеверно од улице Цвјетка Поповића (70 паркинг мјеста), Првомајска (56 паркинг мјеста), дио Карађорђеве улице од раскрснице са улицом Лазе Лазаревића до раскрснице са Његошевом улицом (31 паркинг мјесто), улица Јована Стерије Поповића (34 паркинг мјеста), улица Љубинке Рапић (93 паркинг мјеста), Борачка улица (45 паркинг мјеста) и у Занатском центру I (40 паркинг мјеста). У другој зони има укупно 369 паркинг мјеста.</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Трећу зону чини улица Војводе Степе односно Занатски центар II са 10 паркинг мјеста.</w:t>
            </w:r>
          </w:p>
          <w:p w:rsidR="00BD4F31" w:rsidRDefault="00BD4F31">
            <w:pPr>
              <w:spacing w:after="0" w:line="240" w:lineRule="auto"/>
              <w:rPr>
                <w:rFonts w:ascii="Times New Roman" w:eastAsia="Times New Roman" w:hAnsi="Times New Roman" w:cs="Times New Roman"/>
                <w:color w:val="000000"/>
                <w:sz w:val="20"/>
                <w:szCs w:val="20"/>
              </w:rPr>
            </w:pP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Град није власник укупно расположивог капацитета паркинга, те се за три локације паркинга које су у посједу физичких и правних лица, по уговорима плаћа закуп. То су локације на Тргу српских бораца, испред објекта некадашње робне куће „Прима“ (власник ТП „Промет“ ад Прњавор), у улици Вељка Миланковића, преко пута ресторана „Атина“ (власник Тривичевић Радиша) и у улици Милана Наградића, иза објекта „Пошта Српске“ (власник „Барка Ној“ доо Прњавор). </w:t>
            </w: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пословима организације, контроле и наплате комуналне таксе за паркирање директно с</w:t>
            </w:r>
            <w:r w:rsidR="002576F2">
              <w:rPr>
                <w:rFonts w:ascii="Times New Roman" w:eastAsia="Times New Roman" w:hAnsi="Times New Roman" w:cs="Times New Roman"/>
                <w:color w:val="000000"/>
                <w:sz w:val="20"/>
                <w:szCs w:val="20"/>
              </w:rPr>
              <w:t xml:space="preserve">у ангажована четири службеника </w:t>
            </w:r>
            <w:r w:rsidR="002576F2">
              <w:rPr>
                <w:rFonts w:ascii="Times New Roman" w:eastAsia="Times New Roman" w:hAnsi="Times New Roman" w:cs="Times New Roman"/>
                <w:color w:val="000000"/>
                <w:sz w:val="20"/>
                <w:szCs w:val="20"/>
                <w:lang w:val="sr-Cyrl-BA"/>
              </w:rPr>
              <w:t>г</w:t>
            </w:r>
            <w:r>
              <w:rPr>
                <w:rFonts w:ascii="Times New Roman" w:eastAsia="Times New Roman" w:hAnsi="Times New Roman" w:cs="Times New Roman"/>
                <w:color w:val="000000"/>
                <w:sz w:val="20"/>
                <w:szCs w:val="20"/>
              </w:rPr>
              <w:t>радске управе. Послове непосредне контроле и наплате паркинга по уговору обавља У</w:t>
            </w:r>
            <w:r w:rsidR="00E600B9">
              <w:rPr>
                <w:rFonts w:ascii="Times New Roman" w:eastAsia="Times New Roman" w:hAnsi="Times New Roman" w:cs="Times New Roman"/>
                <w:color w:val="000000"/>
                <w:sz w:val="20"/>
                <w:szCs w:val="20"/>
              </w:rPr>
              <w:t xml:space="preserve">дружење ратних војних инвалида </w:t>
            </w:r>
            <w:r w:rsidR="00E600B9">
              <w:rPr>
                <w:rFonts w:ascii="Times New Roman" w:eastAsia="Times New Roman" w:hAnsi="Times New Roman" w:cs="Times New Roman"/>
                <w:color w:val="000000"/>
                <w:sz w:val="20"/>
                <w:szCs w:val="20"/>
                <w:lang w:val="sr-Cyrl-BA"/>
              </w:rPr>
              <w:t>г</w:t>
            </w:r>
            <w:r>
              <w:rPr>
                <w:rFonts w:ascii="Times New Roman" w:eastAsia="Times New Roman" w:hAnsi="Times New Roman" w:cs="Times New Roman"/>
                <w:color w:val="000000"/>
                <w:sz w:val="20"/>
                <w:szCs w:val="20"/>
              </w:rPr>
              <w:t>рада Прњавор са укупно 4 радника. На Тргу српских бораца наплата паркинга омогућена је и путем инсталираног паркомата.</w:t>
            </w:r>
          </w:p>
          <w:p w:rsidR="00BD4F31" w:rsidRDefault="00BD4F31">
            <w:pPr>
              <w:spacing w:after="0" w:line="240" w:lineRule="auto"/>
              <w:rPr>
                <w:rFonts w:ascii="Times New Roman" w:eastAsia="Times New Roman" w:hAnsi="Times New Roman" w:cs="Times New Roman"/>
                <w:color w:val="000000"/>
                <w:sz w:val="20"/>
                <w:szCs w:val="20"/>
              </w:rPr>
            </w:pP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Недјељом и државним празницима се не врши наплата паркинга.</w:t>
            </w:r>
          </w:p>
          <w:p w:rsidR="00BD4F31" w:rsidRDefault="00BD4F31">
            <w:pPr>
              <w:spacing w:after="0" w:line="240" w:lineRule="auto"/>
              <w:rPr>
                <w:rFonts w:ascii="Times New Roman" w:eastAsia="Times New Roman" w:hAnsi="Times New Roman" w:cs="Times New Roman"/>
                <w:color w:val="000000"/>
                <w:sz w:val="20"/>
                <w:szCs w:val="20"/>
              </w:rPr>
            </w:pPr>
          </w:p>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Паркирање возила на свим паркиралиштима се наплаћује у временском интервалу од 7:00 до 16:00 часова, изузев паркиралишта код Занатског центра I, паркиралишта на Тргу српских бораца, паркинг простори у улици Вељке </w:t>
            </w:r>
            <w:r>
              <w:rPr>
                <w:rFonts w:ascii="Times New Roman" w:eastAsia="Times New Roman" w:hAnsi="Times New Roman" w:cs="Times New Roman"/>
                <w:color w:val="000000"/>
                <w:sz w:val="20"/>
                <w:szCs w:val="20"/>
              </w:rPr>
              <w:lastRenderedPageBreak/>
              <w:t xml:space="preserve">Миланковића јужно од улице Цвјетка Поповића и Првомајској улици, гдје се паркирање наплаћује у временском интервалу од 7:00 до 22:00 часова.     </w:t>
            </w:r>
          </w:p>
        </w:tc>
      </w:tr>
      <w:tr w:rsidR="00BD4F3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pStyle w:val="CommentText"/>
            </w:pPr>
            <w:r>
              <w:rPr>
                <w:rFonts w:ascii="Times New Roman" w:eastAsia="Times New Roman" w:hAnsi="Times New Roman" w:cs="Times New Roman"/>
                <w:b/>
                <w:bCs/>
                <w:color w:val="000000"/>
              </w:rPr>
              <w:lastRenderedPageBreak/>
              <w:t>1.6. Позитивни налази</w:t>
            </w:r>
            <w:r>
              <w:rPr>
                <w:rFonts w:ascii="Times New Roman" w:eastAsia="Times New Roman" w:hAnsi="Times New Roman" w:cs="Times New Roman"/>
                <w:color w:val="000000"/>
              </w:rPr>
              <w:t>:</w:t>
            </w:r>
          </w:p>
          <w:p w:rsidR="00BD4F31" w:rsidRDefault="00BD4F31">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color w:val="000000"/>
                <w:sz w:val="20"/>
                <w:szCs w:val="20"/>
              </w:rPr>
              <w:t> Наплата паркинга на јавним паркиралиштима се врши према важећој одлуци, а уколико се почини прекршај списак возила који су га направили се мјесечно доставља комуналној полицији на даље поступање. Приликом издавања рјешења за повлаштене паркинг карте и ослобађања од плаћања паркинга води се рачуна да постоји одговарајућа документација за остваривања наведених права.</w:t>
            </w:r>
          </w:p>
        </w:tc>
      </w:tr>
      <w:tr w:rsidR="00BD4F3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0"/>
                <w:szCs w:val="20"/>
              </w:rPr>
            </w:pPr>
          </w:p>
        </w:tc>
      </w:tr>
      <w:tr w:rsidR="00BD4F3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0"/>
                <w:szCs w:val="20"/>
              </w:rPr>
            </w:pPr>
          </w:p>
        </w:tc>
      </w:tr>
      <w:tr w:rsidR="00BD4F3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0"/>
                <w:szCs w:val="20"/>
              </w:rPr>
            </w:pPr>
          </w:p>
        </w:tc>
      </w:tr>
      <w:tr w:rsidR="00BD4F31">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BD4F31" w:rsidRDefault="00C159C5">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BD4F3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jc w:val="both"/>
              <w:rPr>
                <w:rFonts w:ascii="Times New Roman" w:eastAsia="Times New Roman" w:hAnsi="Times New Roman" w:cs="Times New Roman"/>
                <w:color w:val="000000"/>
                <w:sz w:val="24"/>
                <w:szCs w:val="24"/>
              </w:rPr>
            </w:pPr>
          </w:p>
        </w:tc>
      </w:tr>
      <w:tr w:rsidR="00BD4F3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наплаћује паркинг на јавним паркиралиштима.</w:t>
            </w:r>
          </w:p>
        </w:tc>
      </w:tr>
      <w:tr w:rsidR="00BD4F31">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За првих 9 мјесеци 2025. године наплаћено је укупно 253.932,00 КМ на име комуналне таксе за паркирање, а тиме су обухваћени СМС-паркинг (104.135,00 КМ), доплатне карте (69.320,00 КМ), принтане карте (36.313</w:t>
            </w:r>
            <w:r w:rsidR="00836188">
              <w:rPr>
                <w:rFonts w:ascii="Times New Roman" w:eastAsia="Times New Roman" w:hAnsi="Times New Roman" w:cs="Times New Roman"/>
                <w:color w:val="000000"/>
                <w:sz w:val="20"/>
                <w:szCs w:val="20"/>
                <w:lang w:val="sr-Cyrl-BA"/>
              </w:rPr>
              <w:t>,00</w:t>
            </w:r>
            <w:r>
              <w:rPr>
                <w:rFonts w:ascii="Times New Roman" w:eastAsia="Times New Roman" w:hAnsi="Times New Roman" w:cs="Times New Roman"/>
                <w:color w:val="000000"/>
                <w:sz w:val="20"/>
                <w:szCs w:val="20"/>
              </w:rPr>
              <w:t xml:space="preserve"> КМ), електронски тикети - паркомат (28.744,00 КМ) и претплата за повлаштене карте (15.420,00 КМ). Када је у питању организација и наплата паркинга на јавним паркиралиштима постоје и одређени трошкови који су за првих 8 мјесеци 2025. године износили 127.553,43 КМ, а исти се односе на трошкове закупнине паркинг простора (35.675,15 КМ), трошкови провизије за електронску наплату паркинга (25.605,28 КМ) и трошкови услуга контроле и наплате паркинга које су уговорене са Уд</w:t>
            </w:r>
            <w:r w:rsidR="00451E7D">
              <w:rPr>
                <w:rFonts w:ascii="Times New Roman" w:eastAsia="Times New Roman" w:hAnsi="Times New Roman" w:cs="Times New Roman"/>
                <w:color w:val="000000"/>
                <w:sz w:val="20"/>
                <w:szCs w:val="20"/>
              </w:rPr>
              <w:t xml:space="preserve">ружењем ратних војних инвалида </w:t>
            </w:r>
            <w:r w:rsidR="00451E7D">
              <w:rPr>
                <w:rFonts w:ascii="Times New Roman" w:eastAsia="Times New Roman" w:hAnsi="Times New Roman" w:cs="Times New Roman"/>
                <w:color w:val="000000"/>
                <w:sz w:val="20"/>
                <w:szCs w:val="20"/>
                <w:lang w:val="sr-Cyrl-BA"/>
              </w:rPr>
              <w:t>г</w:t>
            </w:r>
            <w:r>
              <w:rPr>
                <w:rFonts w:ascii="Times New Roman" w:eastAsia="Times New Roman" w:hAnsi="Times New Roman" w:cs="Times New Roman"/>
                <w:color w:val="000000"/>
                <w:sz w:val="20"/>
                <w:szCs w:val="20"/>
              </w:rPr>
              <w:t>рада Прњавор (66.273,00 КМ).</w:t>
            </w:r>
          </w:p>
        </w:tc>
      </w:tr>
      <w:tr w:rsidR="00BD4F31">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Препоруке </w:t>
            </w:r>
            <w:r w:rsidR="0073156C">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73156C">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tc>
      </w:tr>
      <w:tr w:rsidR="00BD4F3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су предмети повлаштених паркинг карата и ослобађања од плаћања паркинга ријешени на основу </w:t>
            </w:r>
            <w:r>
              <w:rPr>
                <w:rFonts w:ascii="Times New Roman" w:eastAsia="Times New Roman" w:hAnsi="Times New Roman" w:cs="Times New Roman"/>
                <w:color w:val="000000"/>
                <w:sz w:val="20"/>
                <w:szCs w:val="20"/>
              </w:rPr>
              <w:lastRenderedPageBreak/>
              <w:t>одговарајуће документације.</w:t>
            </w:r>
          </w:p>
        </w:tc>
      </w:tr>
      <w:tr w:rsidR="00BD4F31">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lastRenderedPageBreak/>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 За првих 9 мјесеци 2025. године издато је укупно 98 повлаштених карата за паркинг (станарске, предузетничке и радничке), а приликом предаје захтјева за добијање рјешења достављао се одговарајући доказ (станари увјерење о пребивалишту, предузетници копију одобрења за рад, а радници копију радне књижице или увјерење послодавца да је особа запослена). У ревидираном узорку од 39 случајно одабраних предмета издавања повлаштене карте у 2025. години, утврђено је да је правилно уплаћен износ таксе за различите категорије комуналне таксе за паркирање (постоје полугодишње и годишње паркинг карте за раднике, предузетнике и станаре чији су износи таксе различити за различите зоне паркинга). Што се тиче могућности ослобађања плаћања од паркинга, за првих 9 мјесеци 2025. </w:t>
            </w:r>
            <w:r w:rsidR="00ED69BF">
              <w:rPr>
                <w:rFonts w:ascii="Times New Roman" w:eastAsia="Times New Roman" w:hAnsi="Times New Roman" w:cs="Times New Roman"/>
                <w:color w:val="000000"/>
                <w:sz w:val="20"/>
                <w:szCs w:val="20"/>
                <w:lang w:val="sr-Cyrl-BA"/>
              </w:rPr>
              <w:t xml:space="preserve">године </w:t>
            </w:r>
            <w:r>
              <w:rPr>
                <w:rFonts w:ascii="Times New Roman" w:eastAsia="Times New Roman" w:hAnsi="Times New Roman" w:cs="Times New Roman"/>
                <w:color w:val="000000"/>
                <w:sz w:val="20"/>
                <w:szCs w:val="20"/>
              </w:rPr>
              <w:t>издато је 37 рјешења, а категорије које су ослобођене су породице погинулих бораца, добровољни даваоци крви (20 или више пута) и родитељи дјеце са посебним потребама. У ревидираном узорку од 12 случајно одабраних предмета из 2025. године ослобађања од плаћања паркинга утврђено је да су подносиоци захтјева доставили одговарајућу документацију (рјешење о утврђеном статусу породице погинулог борца, увјерење Црвеног крста Прњавор о броју даривања крви или налаз Центра за социјални рад Прњавор о психофизичкој способности дјетета).</w:t>
            </w:r>
          </w:p>
        </w:tc>
      </w:tr>
      <w:tr w:rsidR="00BD4F31">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Препоруке </w:t>
            </w:r>
            <w:r w:rsidR="00A4642C">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A4642C">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tc>
      </w:tr>
      <w:tr w:rsidR="00BD4F3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рјешава избјегавање плаћања паркинга.</w:t>
            </w:r>
          </w:p>
        </w:tc>
      </w:tr>
      <w:tr w:rsidR="00BD4F31">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Почетком сваког мјесеца Одјељење за стамбено-комуналне послове и инвестиције све неплаћене доплатне карте из претходног мјесеца преноси у статус регистра новчаних казни и подноси захтјев комуналној полицији за покретање прекршајних поступака за исте. Комунална полиција по окончању покретања прекршајних поступака за сваки мјесец доставља списак возила за које је покренут поступак Одјељењу за стамбено-комуналне послове и инвестиције. За доплатне карте које н</w:t>
            </w:r>
            <w:r w:rsidR="000440A2">
              <w:rPr>
                <w:rFonts w:ascii="Times New Roman" w:eastAsia="Times New Roman" w:hAnsi="Times New Roman" w:cs="Times New Roman"/>
                <w:color w:val="000000"/>
                <w:sz w:val="20"/>
                <w:szCs w:val="20"/>
              </w:rPr>
              <w:t>ису плаћене у року од 48 часова</w:t>
            </w:r>
            <w:r w:rsidR="004222B7">
              <w:rPr>
                <w:rFonts w:ascii="Times New Roman" w:eastAsia="Times New Roman" w:hAnsi="Times New Roman" w:cs="Times New Roman"/>
                <w:color w:val="000000"/>
                <w:sz w:val="20"/>
                <w:szCs w:val="20"/>
                <w:lang w:val="sr-Cyrl-BA"/>
              </w:rPr>
              <w:t>,</w:t>
            </w:r>
            <w:r>
              <w:rPr>
                <w:rFonts w:ascii="Times New Roman" w:eastAsia="Times New Roman" w:hAnsi="Times New Roman" w:cs="Times New Roman"/>
                <w:color w:val="000000"/>
                <w:sz w:val="20"/>
                <w:szCs w:val="20"/>
              </w:rPr>
              <w:t xml:space="preserve"> паркинг </w:t>
            </w:r>
            <w:r>
              <w:rPr>
                <w:rFonts w:ascii="Times New Roman" w:eastAsia="Times New Roman" w:hAnsi="Times New Roman" w:cs="Times New Roman"/>
                <w:color w:val="000000"/>
                <w:sz w:val="20"/>
                <w:szCs w:val="20"/>
              </w:rPr>
              <w:lastRenderedPageBreak/>
              <w:t xml:space="preserve">служба је за првих 8 мјесеци доставила комуналној полицији 1220 захтјева за покретање прекршајног поступка. На основу извјештаја које је комунална полиција доставила одјељењу уочено је закашњење у издавању прекршајних налога у року од нека два до три мјесеца од почињеног прекршаја, а разлог због тога је велики број почињених прекршаја који  мјесечно зна да буде и преко 150. На наведеним извјештајима се налази и списак возила за која је извршена уплата доплатне карте у износу од 20,00 КМ, а за које је накнадно донесен доказ о уплати, те за њих и није издат прекршајни налог. За остале је издат прекршајни налог у износу од 50,00 КМ.    </w:t>
            </w:r>
          </w:p>
        </w:tc>
      </w:tr>
      <w:tr w:rsidR="00BD4F31">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EF1A12">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EF1A12">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tc>
      </w:tr>
      <w:tr w:rsidR="00BD4F3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tc>
      </w:tr>
      <w:tr w:rsidR="00BD4F3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C159C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tc>
      </w:tr>
      <w:tr w:rsidR="00BD4F31">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BD4F31" w:rsidRDefault="00C159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BD4F31">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4"/>
                <w:szCs w:val="24"/>
              </w:rPr>
            </w:pPr>
          </w:p>
        </w:tc>
      </w:tr>
      <w:tr w:rsidR="00BD4F31">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D4F31" w:rsidRDefault="00BD4F31">
            <w:pPr>
              <w:spacing w:after="0" w:line="240" w:lineRule="auto"/>
              <w:rPr>
                <w:rFonts w:ascii="Times New Roman" w:eastAsia="Times New Roman" w:hAnsi="Times New Roman" w:cs="Times New Roman"/>
                <w:color w:val="000000"/>
                <w:sz w:val="24"/>
                <w:szCs w:val="24"/>
              </w:rPr>
            </w:pPr>
          </w:p>
        </w:tc>
      </w:tr>
    </w:tbl>
    <w:p w:rsidR="00BD4F31" w:rsidRDefault="00BD4F31"/>
    <w:p w:rsidR="00BD4F31" w:rsidRDefault="00BD4F31"/>
    <w:tbl>
      <w:tblPr>
        <w:tblW w:w="13068" w:type="dxa"/>
        <w:tblLook w:val="04A0"/>
      </w:tblPr>
      <w:tblGrid>
        <w:gridCol w:w="2157"/>
        <w:gridCol w:w="2158"/>
        <w:gridCol w:w="2158"/>
        <w:gridCol w:w="119"/>
        <w:gridCol w:w="2039"/>
        <w:gridCol w:w="2157"/>
        <w:gridCol w:w="2280"/>
      </w:tblGrid>
      <w:tr w:rsidR="00BD4F31">
        <w:tc>
          <w:tcPr>
            <w:tcW w:w="2157" w:type="dxa"/>
            <w:shd w:val="clear" w:color="auto" w:fill="auto"/>
          </w:tcPr>
          <w:p w:rsidR="00BD4F31" w:rsidRDefault="00BD4F31">
            <w:pPr>
              <w:spacing w:after="0" w:line="240" w:lineRule="auto"/>
              <w:jc w:val="center"/>
            </w:pPr>
          </w:p>
        </w:tc>
        <w:tc>
          <w:tcPr>
            <w:tcW w:w="2158" w:type="dxa"/>
            <w:tcBorders>
              <w:bottom w:val="single" w:sz="4" w:space="0" w:color="00000A"/>
            </w:tcBorders>
            <w:shd w:val="clear" w:color="auto" w:fill="auto"/>
          </w:tcPr>
          <w:p w:rsidR="00BD4F31" w:rsidRDefault="00BD4F31">
            <w:pPr>
              <w:spacing w:after="0" w:line="240" w:lineRule="auto"/>
              <w:jc w:val="center"/>
            </w:pPr>
          </w:p>
        </w:tc>
        <w:tc>
          <w:tcPr>
            <w:tcW w:w="2158" w:type="dxa"/>
            <w:shd w:val="clear" w:color="auto" w:fill="auto"/>
          </w:tcPr>
          <w:p w:rsidR="00BD4F31" w:rsidRDefault="00BD4F31">
            <w:pPr>
              <w:spacing w:after="0" w:line="240" w:lineRule="auto"/>
              <w:jc w:val="center"/>
            </w:pPr>
          </w:p>
        </w:tc>
        <w:tc>
          <w:tcPr>
            <w:tcW w:w="2158" w:type="dxa"/>
            <w:gridSpan w:val="2"/>
            <w:shd w:val="clear" w:color="auto" w:fill="auto"/>
          </w:tcPr>
          <w:p w:rsidR="00BD4F31" w:rsidRDefault="00BD4F31">
            <w:pPr>
              <w:spacing w:after="0" w:line="240" w:lineRule="auto"/>
              <w:jc w:val="center"/>
            </w:pPr>
          </w:p>
        </w:tc>
        <w:tc>
          <w:tcPr>
            <w:tcW w:w="2157" w:type="dxa"/>
            <w:tcBorders>
              <w:bottom w:val="single" w:sz="4" w:space="0" w:color="00000A"/>
            </w:tcBorders>
            <w:shd w:val="clear" w:color="auto" w:fill="auto"/>
          </w:tcPr>
          <w:p w:rsidR="00BD4F31" w:rsidRDefault="00BD4F31">
            <w:pPr>
              <w:spacing w:after="0" w:line="240" w:lineRule="auto"/>
              <w:jc w:val="center"/>
            </w:pPr>
          </w:p>
        </w:tc>
        <w:tc>
          <w:tcPr>
            <w:tcW w:w="2280" w:type="dxa"/>
            <w:shd w:val="clear" w:color="auto" w:fill="auto"/>
          </w:tcPr>
          <w:p w:rsidR="00BD4F31" w:rsidRDefault="00BD4F31">
            <w:pPr>
              <w:spacing w:after="0" w:line="240" w:lineRule="auto"/>
              <w:jc w:val="center"/>
            </w:pPr>
          </w:p>
        </w:tc>
      </w:tr>
      <w:tr w:rsidR="00BD4F31">
        <w:tc>
          <w:tcPr>
            <w:tcW w:w="6473" w:type="dxa"/>
            <w:gridSpan w:val="3"/>
            <w:shd w:val="clear" w:color="auto" w:fill="auto"/>
          </w:tcPr>
          <w:p w:rsidR="00BD4F31" w:rsidRPr="00E154F9" w:rsidRDefault="00BD4F31">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BD4F31" w:rsidRPr="00E154F9" w:rsidRDefault="00E154F9">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BD4F31">
        <w:trPr>
          <w:trHeight w:val="1383"/>
        </w:trPr>
        <w:tc>
          <w:tcPr>
            <w:tcW w:w="13068" w:type="dxa"/>
            <w:gridSpan w:val="7"/>
            <w:shd w:val="clear" w:color="auto" w:fill="auto"/>
          </w:tcPr>
          <w:p w:rsidR="00BD4F31" w:rsidRDefault="00BD4F31">
            <w:pPr>
              <w:spacing w:after="0" w:line="240" w:lineRule="auto"/>
            </w:pPr>
          </w:p>
        </w:tc>
      </w:tr>
      <w:tr w:rsidR="00BD4F31">
        <w:tc>
          <w:tcPr>
            <w:tcW w:w="6592" w:type="dxa"/>
            <w:gridSpan w:val="4"/>
            <w:shd w:val="clear" w:color="auto" w:fill="auto"/>
          </w:tcPr>
          <w:p w:rsidR="00E154F9" w:rsidRDefault="00E154F9">
            <w:pPr>
              <w:spacing w:after="0" w:line="240" w:lineRule="auto"/>
              <w:rPr>
                <w:rFonts w:ascii="Times New Roman" w:hAnsi="Times New Roman" w:cs="Times New Roman"/>
                <w:lang w:val="sr-Cyrl-BA"/>
              </w:rPr>
            </w:pPr>
          </w:p>
          <w:p w:rsidR="00E154F9" w:rsidRDefault="00E154F9">
            <w:pPr>
              <w:spacing w:after="0" w:line="240" w:lineRule="auto"/>
              <w:rPr>
                <w:rFonts w:ascii="Times New Roman" w:hAnsi="Times New Roman" w:cs="Times New Roman"/>
                <w:lang w:val="sr-Cyrl-BA"/>
              </w:rPr>
            </w:pPr>
          </w:p>
          <w:p w:rsidR="00E154F9" w:rsidRDefault="00E154F9">
            <w:pPr>
              <w:spacing w:after="0" w:line="240" w:lineRule="auto"/>
              <w:rPr>
                <w:rFonts w:ascii="Times New Roman" w:hAnsi="Times New Roman" w:cs="Times New Roman"/>
                <w:lang w:val="sr-Cyrl-BA"/>
              </w:rPr>
            </w:pPr>
          </w:p>
          <w:p w:rsidR="00E154F9" w:rsidRDefault="00E154F9">
            <w:pPr>
              <w:spacing w:after="0" w:line="240" w:lineRule="auto"/>
              <w:rPr>
                <w:rFonts w:ascii="Times New Roman" w:hAnsi="Times New Roman" w:cs="Times New Roman"/>
                <w:lang w:val="sr-Cyrl-BA"/>
              </w:rPr>
            </w:pPr>
          </w:p>
          <w:p w:rsidR="00E154F9" w:rsidRDefault="00E154F9">
            <w:pPr>
              <w:spacing w:after="0" w:line="240" w:lineRule="auto"/>
              <w:rPr>
                <w:rFonts w:ascii="Times New Roman" w:hAnsi="Times New Roman" w:cs="Times New Roman"/>
                <w:lang w:val="sr-Cyrl-BA"/>
              </w:rPr>
            </w:pPr>
          </w:p>
          <w:p w:rsidR="00BD4F31" w:rsidRDefault="00C159C5">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BD4F31" w:rsidRDefault="00BD4F31">
            <w:pPr>
              <w:spacing w:after="0" w:line="240" w:lineRule="auto"/>
            </w:pPr>
          </w:p>
        </w:tc>
      </w:tr>
      <w:tr w:rsidR="00BD4F31">
        <w:trPr>
          <w:trHeight w:val="960"/>
        </w:trPr>
        <w:tc>
          <w:tcPr>
            <w:tcW w:w="13068" w:type="dxa"/>
            <w:gridSpan w:val="7"/>
            <w:shd w:val="clear" w:color="auto" w:fill="auto"/>
          </w:tcPr>
          <w:p w:rsidR="00BD4F31" w:rsidRPr="009C14CA" w:rsidRDefault="00E154F9">
            <w:pPr>
              <w:spacing w:after="0" w:line="240" w:lineRule="auto"/>
              <w:rPr>
                <w:rFonts w:ascii="Times New Roman" w:eastAsia="Times New Roman" w:hAnsi="Times New Roman" w:cs="Times New Roman"/>
                <w:color w:val="000000"/>
                <w:lang w:val="sr-Cyrl-BA"/>
              </w:rPr>
            </w:pPr>
            <w:r>
              <w:rPr>
                <w:rFonts w:ascii="Times New Roman" w:eastAsia="Times New Roman" w:hAnsi="Times New Roman" w:cs="Times New Roman"/>
                <w:color w:val="000000"/>
              </w:rPr>
              <w:lastRenderedPageBreak/>
              <w:t>Одјељење за стамбено</w:t>
            </w:r>
            <w:r>
              <w:rPr>
                <w:rFonts w:ascii="Times New Roman" w:eastAsia="Times New Roman" w:hAnsi="Times New Roman" w:cs="Times New Roman"/>
                <w:color w:val="000000"/>
                <w:lang w:val="sr-Cyrl-BA"/>
              </w:rPr>
              <w:t>-</w:t>
            </w:r>
            <w:r>
              <w:rPr>
                <w:rFonts w:ascii="Times New Roman" w:eastAsia="Times New Roman" w:hAnsi="Times New Roman" w:cs="Times New Roman"/>
                <w:color w:val="000000"/>
              </w:rPr>
              <w:t xml:space="preserve">комуналне </w:t>
            </w:r>
            <w:r w:rsidR="00C159C5">
              <w:rPr>
                <w:rFonts w:ascii="Times New Roman" w:eastAsia="Times New Roman" w:hAnsi="Times New Roman" w:cs="Times New Roman"/>
                <w:color w:val="000000"/>
              </w:rPr>
              <w:t>послове и инвестиције</w:t>
            </w:r>
            <w:r w:rsidR="009C14CA">
              <w:rPr>
                <w:rFonts w:ascii="Times New Roman" w:eastAsia="Times New Roman" w:hAnsi="Times New Roman" w:cs="Times New Roman"/>
                <w:color w:val="000000"/>
                <w:lang w:val="sr-Cyrl-BA"/>
              </w:rPr>
              <w:t>,</w:t>
            </w:r>
          </w:p>
          <w:p w:rsidR="00BD4F31" w:rsidRDefault="00C159C5">
            <w:pPr>
              <w:spacing w:after="0" w:line="240" w:lineRule="auto"/>
              <w:rPr>
                <w:rFonts w:ascii="Times New Roman" w:hAnsi="Times New Roman" w:cs="Times New Roman"/>
              </w:rPr>
            </w:pPr>
            <w:r>
              <w:rPr>
                <w:rFonts w:ascii="Times New Roman" w:hAnsi="Times New Roman" w:cs="Times New Roman"/>
              </w:rPr>
              <w:t>Руководилац субјекта,</w:t>
            </w:r>
          </w:p>
          <w:p w:rsidR="00BD4F31" w:rsidRDefault="00C159C5">
            <w:pPr>
              <w:spacing w:after="0" w:line="240" w:lineRule="auto"/>
              <w:rPr>
                <w:rFonts w:ascii="Times New Roman" w:hAnsi="Times New Roman" w:cs="Times New Roman"/>
              </w:rPr>
            </w:pPr>
            <w:r>
              <w:rPr>
                <w:rFonts w:ascii="Times New Roman" w:hAnsi="Times New Roman" w:cs="Times New Roman"/>
              </w:rPr>
              <w:t>а/а</w:t>
            </w:r>
          </w:p>
        </w:tc>
      </w:tr>
    </w:tbl>
    <w:p w:rsidR="00BD4F31" w:rsidRDefault="00BD4F31"/>
    <w:sectPr w:rsidR="00BD4F31" w:rsidSect="00BD4F31">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25E" w:rsidRDefault="00A9325E" w:rsidP="00BD4F31">
      <w:pPr>
        <w:spacing w:after="0" w:line="240" w:lineRule="auto"/>
      </w:pPr>
      <w:r>
        <w:separator/>
      </w:r>
    </w:p>
  </w:endnote>
  <w:endnote w:type="continuationSeparator" w:id="1">
    <w:p w:rsidR="00A9325E" w:rsidRDefault="00A9325E" w:rsidP="00BD4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25E" w:rsidRDefault="00A9325E" w:rsidP="00BD4F31">
      <w:pPr>
        <w:spacing w:after="0" w:line="240" w:lineRule="auto"/>
      </w:pPr>
      <w:r>
        <w:separator/>
      </w:r>
    </w:p>
  </w:footnote>
  <w:footnote w:type="continuationSeparator" w:id="1">
    <w:p w:rsidR="00A9325E" w:rsidRDefault="00A9325E" w:rsidP="00BD4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4A0"/>
    </w:tblPr>
    <w:tblGrid>
      <w:gridCol w:w="12950"/>
    </w:tblGrid>
    <w:tr w:rsidR="00BD4F31">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BD4F31" w:rsidRDefault="00C159C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BD4F31">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BD4F31" w:rsidRDefault="00C159C5">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BD4F31" w:rsidRDefault="00BD4F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8F6"/>
    <w:multiLevelType w:val="multilevel"/>
    <w:tmpl w:val="DE481A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7C7D1083"/>
    <w:multiLevelType w:val="multilevel"/>
    <w:tmpl w:val="233405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4F31"/>
    <w:rsid w:val="00011BC5"/>
    <w:rsid w:val="000440A2"/>
    <w:rsid w:val="000C5981"/>
    <w:rsid w:val="002576F2"/>
    <w:rsid w:val="002B32E1"/>
    <w:rsid w:val="003A44A6"/>
    <w:rsid w:val="004222B7"/>
    <w:rsid w:val="00451E7D"/>
    <w:rsid w:val="004866FB"/>
    <w:rsid w:val="004B3F5D"/>
    <w:rsid w:val="0057129C"/>
    <w:rsid w:val="0073156C"/>
    <w:rsid w:val="00836188"/>
    <w:rsid w:val="009C14CA"/>
    <w:rsid w:val="00A4642C"/>
    <w:rsid w:val="00A66430"/>
    <w:rsid w:val="00A9325E"/>
    <w:rsid w:val="00BD4F31"/>
    <w:rsid w:val="00C159C5"/>
    <w:rsid w:val="00E154F9"/>
    <w:rsid w:val="00E600B9"/>
    <w:rsid w:val="00ED69BF"/>
    <w:rsid w:val="00EF1A12"/>
    <w:rsid w:val="00F7001E"/>
    <w:rsid w:val="00FB7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31"/>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BD4F31"/>
  </w:style>
  <w:style w:type="character" w:customStyle="1" w:styleId="FooterChar">
    <w:name w:val="Footer Char"/>
    <w:basedOn w:val="DefaultParagraphFont"/>
    <w:qFormat/>
    <w:rsid w:val="00BD4F31"/>
  </w:style>
  <w:style w:type="character" w:styleId="CommentReference">
    <w:name w:val="annotation reference"/>
    <w:basedOn w:val="DefaultParagraphFont"/>
    <w:qFormat/>
    <w:rsid w:val="00BD4F31"/>
    <w:rPr>
      <w:sz w:val="16"/>
      <w:szCs w:val="16"/>
    </w:rPr>
  </w:style>
  <w:style w:type="character" w:customStyle="1" w:styleId="CommentTextChar">
    <w:name w:val="Comment Text Char"/>
    <w:basedOn w:val="DefaultParagraphFont"/>
    <w:qFormat/>
    <w:rsid w:val="00BD4F31"/>
    <w:rPr>
      <w:sz w:val="20"/>
      <w:szCs w:val="20"/>
    </w:rPr>
  </w:style>
  <w:style w:type="character" w:customStyle="1" w:styleId="CommentSubjectChar">
    <w:name w:val="Comment Subject Char"/>
    <w:basedOn w:val="CommentTextChar"/>
    <w:qFormat/>
    <w:rsid w:val="00BD4F31"/>
    <w:rPr>
      <w:b/>
      <w:bCs/>
      <w:sz w:val="20"/>
      <w:szCs w:val="20"/>
    </w:rPr>
  </w:style>
  <w:style w:type="character" w:customStyle="1" w:styleId="BalloonTextChar">
    <w:name w:val="Balloon Text Char"/>
    <w:basedOn w:val="DefaultParagraphFont"/>
    <w:qFormat/>
    <w:rsid w:val="00BD4F31"/>
    <w:rPr>
      <w:rFonts w:ascii="Segoe UI" w:hAnsi="Segoe UI" w:cs="Segoe UI"/>
      <w:sz w:val="18"/>
      <w:szCs w:val="18"/>
    </w:rPr>
  </w:style>
  <w:style w:type="paragraph" w:customStyle="1" w:styleId="Heading">
    <w:name w:val="Heading"/>
    <w:basedOn w:val="Normal"/>
    <w:next w:val="TextBody"/>
    <w:qFormat/>
    <w:rsid w:val="00BD4F31"/>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BD4F31"/>
    <w:pPr>
      <w:spacing w:after="140" w:line="288" w:lineRule="auto"/>
    </w:pPr>
  </w:style>
  <w:style w:type="paragraph" w:styleId="List">
    <w:name w:val="List"/>
    <w:basedOn w:val="TextBody"/>
    <w:rsid w:val="00BD4F31"/>
  </w:style>
  <w:style w:type="paragraph" w:styleId="Caption">
    <w:name w:val="caption"/>
    <w:basedOn w:val="Normal"/>
    <w:qFormat/>
    <w:rsid w:val="00BD4F31"/>
    <w:pPr>
      <w:suppressLineNumbers/>
      <w:spacing w:before="120" w:after="120"/>
    </w:pPr>
    <w:rPr>
      <w:i/>
      <w:iCs/>
      <w:sz w:val="24"/>
      <w:szCs w:val="24"/>
    </w:rPr>
  </w:style>
  <w:style w:type="paragraph" w:customStyle="1" w:styleId="Index">
    <w:name w:val="Index"/>
    <w:basedOn w:val="Normal"/>
    <w:qFormat/>
    <w:rsid w:val="00BD4F31"/>
    <w:pPr>
      <w:suppressLineNumbers/>
    </w:pPr>
  </w:style>
  <w:style w:type="paragraph" w:styleId="Header">
    <w:name w:val="header"/>
    <w:basedOn w:val="Normal"/>
    <w:rsid w:val="00BD4F31"/>
    <w:pPr>
      <w:tabs>
        <w:tab w:val="center" w:pos="4680"/>
        <w:tab w:val="right" w:pos="9360"/>
      </w:tabs>
      <w:spacing w:after="0" w:line="240" w:lineRule="auto"/>
    </w:pPr>
  </w:style>
  <w:style w:type="paragraph" w:styleId="Footer">
    <w:name w:val="footer"/>
    <w:basedOn w:val="Normal"/>
    <w:rsid w:val="00BD4F31"/>
    <w:pPr>
      <w:tabs>
        <w:tab w:val="center" w:pos="4680"/>
        <w:tab w:val="right" w:pos="9360"/>
      </w:tabs>
      <w:spacing w:after="0" w:line="240" w:lineRule="auto"/>
    </w:pPr>
  </w:style>
  <w:style w:type="paragraph" w:styleId="CommentText">
    <w:name w:val="annotation text"/>
    <w:basedOn w:val="Normal"/>
    <w:qFormat/>
    <w:rsid w:val="00BD4F31"/>
    <w:pPr>
      <w:spacing w:line="240" w:lineRule="auto"/>
    </w:pPr>
    <w:rPr>
      <w:sz w:val="20"/>
      <w:szCs w:val="20"/>
    </w:rPr>
  </w:style>
  <w:style w:type="paragraph" w:styleId="CommentSubject">
    <w:name w:val="annotation subject"/>
    <w:basedOn w:val="CommentText"/>
    <w:qFormat/>
    <w:rsid w:val="00BD4F31"/>
    <w:rPr>
      <w:b/>
      <w:bCs/>
    </w:rPr>
  </w:style>
  <w:style w:type="paragraph" w:styleId="BalloonText">
    <w:name w:val="Balloon Text"/>
    <w:basedOn w:val="Normal"/>
    <w:qFormat/>
    <w:rsid w:val="00BD4F31"/>
    <w:pPr>
      <w:spacing w:after="0" w:line="240" w:lineRule="auto"/>
    </w:pPr>
    <w:rPr>
      <w:rFonts w:ascii="Segoe UI" w:hAnsi="Segoe UI" w:cs="Segoe UI"/>
      <w:sz w:val="18"/>
      <w:szCs w:val="18"/>
    </w:rPr>
  </w:style>
  <w:style w:type="paragraph" w:styleId="ListParagraph">
    <w:name w:val="List Paragraph"/>
    <w:basedOn w:val="Normal"/>
    <w:qFormat/>
    <w:rsid w:val="00BD4F31"/>
    <w:pPr>
      <w:ind w:left="720"/>
      <w:contextualSpacing/>
    </w:pPr>
  </w:style>
  <w:style w:type="paragraph" w:customStyle="1" w:styleId="TableContents">
    <w:name w:val="Table Contents"/>
    <w:basedOn w:val="Normal"/>
    <w:qFormat/>
    <w:rsid w:val="00BD4F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111</cp:revision>
  <dcterms:created xsi:type="dcterms:W3CDTF">2021-08-16T14:03:00Z</dcterms:created>
  <dcterms:modified xsi:type="dcterms:W3CDTF">2025-10-20T07:07:00Z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