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B73" w:rsidRDefault="0060572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Ревизорски извјештај</w:t>
      </w:r>
    </w:p>
    <w:tbl>
      <w:tblPr>
        <w:tblW w:w="13705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8090"/>
        <w:gridCol w:w="5615"/>
      </w:tblGrid>
      <w:tr w:rsidR="00341B73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Ревиз</w:t>
            </w:r>
            <w:r w:rsidR="005809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ија израде „Службеног гласника </w:t>
            </w:r>
            <w:r w:rsidR="005809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рада Прњавор“ у Скупштини града Прњавор </w:t>
            </w:r>
          </w:p>
        </w:tc>
      </w:tr>
      <w:tr w:rsidR="00341B73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Временски период обухваћен ревизијом: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58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/2025 -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1</w:t>
            </w:r>
            <w:r w:rsidR="00605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8/11/2025</w:t>
            </w:r>
          </w:p>
        </w:tc>
      </w:tr>
      <w:tr w:rsidR="00341B73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Број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13-014-324/25</w:t>
            </w:r>
          </w:p>
        </w:tc>
      </w:tr>
      <w:tr w:rsidR="00341B73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Назив ревидираног субјекта/oрганизационе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јединице укључене у ревидирани процес: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Pr="005809C3" w:rsidRDefault="0058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Стручна служба </w:t>
            </w:r>
            <w:r w:rsidR="00605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Скупштине 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 xml:space="preserve"> Прњавор</w:t>
            </w:r>
          </w:p>
        </w:tc>
      </w:tr>
      <w:tr w:rsidR="00341B73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Вођа ревизорског тима: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tabs>
                <w:tab w:val="left" w:pos="300"/>
                <w:tab w:val="center" w:pos="26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</w:tc>
      </w:tr>
      <w:tr w:rsidR="00341B73">
        <w:trPr>
          <w:trHeight w:val="90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Чланови ревизорског тима: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41B73">
        <w:trPr>
          <w:trHeight w:val="312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ИЗВРШНИ РЕЗИМЕ</w:t>
            </w:r>
          </w:p>
        </w:tc>
      </w:tr>
      <w:tr w:rsidR="00341B73">
        <w:trPr>
          <w:trHeight w:val="611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pStyle w:val="CommentText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Слободан текст </w:t>
            </w:r>
            <w:r>
              <w:rPr>
                <w:rFonts w:ascii="Times New Roman" w:hAnsi="Times New Roman" w:cs="Times New Roman"/>
              </w:rPr>
              <w:t xml:space="preserve">(навести  кратак опис циљева и обима ревизије, најзначајнијих налаза </w:t>
            </w:r>
            <w:r w:rsidR="00D64FF9">
              <w:rPr>
                <w:rFonts w:ascii="Times New Roman" w:hAnsi="Times New Roman" w:cs="Times New Roman"/>
              </w:rPr>
              <w:t xml:space="preserve">ревизије и </w:t>
            </w:r>
            <w:r w:rsidR="00D64FF9">
              <w:rPr>
                <w:rFonts w:ascii="Times New Roman" w:hAnsi="Times New Roman" w:cs="Times New Roman"/>
                <w:lang w:val="sr-Cyrl-BA"/>
              </w:rPr>
              <w:t>њ</w:t>
            </w:r>
            <w:r>
              <w:rPr>
                <w:rFonts w:ascii="Times New Roman" w:hAnsi="Times New Roman" w:cs="Times New Roman"/>
              </w:rPr>
              <w:t>има везаних ризика)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Унутар Стручне службе Скупштине града Прњавор објављују се "Службени гласници града Прњавор", а циљ ове интерне ревизије је да се испита да ли се службени гласници благовремено објављују и достављају надлежном министарству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41B73">
        <w:trPr>
          <w:trHeight w:val="288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УВОД </w:t>
            </w:r>
          </w:p>
        </w:tc>
      </w:tr>
      <w:tr w:rsidR="00341B73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 за ревизију: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341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1B73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341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1B73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1.3. Циљеви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Осигурати да су „Службени гласници града Прњавор“ објављени у року од највише пет радних дана од дана закључивања редовне сједнице Скупштине града.</w:t>
            </w:r>
          </w:p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Осигурати да се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објављени „Службени гласници града Прњавор“ достављају надлежном министарству у року од 15 дана од дана њиховог објављивања.</w:t>
            </w:r>
          </w:p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Осигурати да се објављују документа у „Службеном гласнику града Прњавор“.</w:t>
            </w:r>
          </w:p>
        </w:tc>
      </w:tr>
      <w:tr w:rsidR="00341B7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1.4. Обим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Закон о локалној самоу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 („Службени гласник Републике Српске“, бр. 97/16, 36/19 и 61/21),</w:t>
            </w:r>
          </w:p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Одлука о издавању „Службеног гласника града Прњавор“ („Службени гласник града Прњавор“ број 17/23), </w:t>
            </w:r>
          </w:p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 објављени „Службени гласници града Прњавор“ током 2025. године,</w:t>
            </w:r>
          </w:p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доказ о достављању објављених „Службених гласника града Прњавор“ надлежном министарству </w:t>
            </w:r>
          </w:p>
        </w:tc>
      </w:tr>
      <w:tr w:rsidR="00341B7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1.5. Полазне информације о ревидираном подручју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„Службени гласник града Прњавор“ издаје Скупштина града Прњавор и исти нема својство правног лица.</w:t>
            </w:r>
          </w:p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„Службеном 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ласнику града Прњавор“ поред статута, одлука и других општих аката, објављују се аутентична тумачења аката органа Града Прњавор, програми и планови од интереса за информисање грађана, акта о избору, именовању, постављању и разрјешењу, акта о располагању 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покретностима у својини Града Прњавор, те друга акта када о томе одлуче органи Града Прњавор.</w:t>
            </w:r>
          </w:p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„Службеном гласнику града Прњавор“ објављују се општи, појединачни и други акти које доносе јавне установе и предузећа чији је оснивач Скупштина града Прњавор,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Градска изборна комисија и одјељења Градске управе града Прњавор, ако је другим прописима предвиђено њихово објављивање.</w:t>
            </w:r>
          </w:p>
        </w:tc>
      </w:tr>
      <w:tr w:rsidR="00341B7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pStyle w:val="CommentTex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1.6. Позитивни налази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341B73" w:rsidRDefault="00341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"Службени гласници града Прњавор" се редовно објављују након одржане сједнице Скупштине града Прњавор и исти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 шаљу електронским путем Министарству управе и локалне самоуправе.</w:t>
            </w:r>
          </w:p>
        </w:tc>
      </w:tr>
      <w:tr w:rsidR="00341B7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1.7. Одговорности: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341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1B7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1.8. Ограничења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341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1B73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341B73">
            <w:pPr>
              <w:pStyle w:val="CommentTex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341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1B73">
        <w:trPr>
          <w:trHeight w:val="300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НАЛАЗИ, ЗАКЉУЧЦИ И ПРЕПОРУКЕ</w:t>
            </w:r>
          </w:p>
        </w:tc>
      </w:tr>
      <w:tr w:rsidR="00341B73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Претходни ревизијски преглед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(спровођење препорука из претходне ревизије)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34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1B73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су "Службени гласници града Прњавор" објављени у року од највише пет радних дана од дана закључивања редовне сједнице Скупштине града.</w:t>
            </w:r>
          </w:p>
        </w:tc>
      </w:tr>
      <w:tr w:rsidR="00341B73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До момента ревидирања, у току 2025. године, одржано је 7 редовних сједница Скупштине града Прњавор, а усвојени материјал је објављен одмах након одржаних сједница, односно у року од пет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адних дана од дана закључивања сједнице, а што је у складу са чланом 9. став (3) Одлуке 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издавању "Службеног гласника града Прњавор".</w:t>
            </w:r>
          </w:p>
        </w:tc>
      </w:tr>
      <w:tr w:rsidR="00341B73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Препоруке </w:t>
            </w:r>
            <w:r w:rsidR="00FF1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FF1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341B73"/>
        </w:tc>
      </w:tr>
      <w:tr w:rsidR="00341B73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Осигурати да се објављени "Службени гласници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града Прњавор" достављају надлежном министарству у року од 15 дана од дана њиховог објављивања.</w:t>
            </w:r>
          </w:p>
        </w:tc>
      </w:tr>
      <w:tr w:rsidR="00341B73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(постојеће стање, очекивано стање, одступања постојећег од очекиваног стања, узроци одступања постојећег од очекиваног стања, учинци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2 - На основу дописа од стране Министарства управе и локалне самоуправе с краја 2023. године, ради бржег и економичнијег достављања службених гласника, исти се достављају искључиво електронским путем, а не у штампаном облику, као што ј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раније био случај. У току 2025. године, до момента ревидирања, објављено је укупно 26 службених гласника, а сви су достављени надлежном министарству електронским путем у року од 15 дана од дана њиховог објављивања, изузев у мањем броју случајева када су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објављени гласници достављени са пар дана закашњења дефинисаног рока. </w:t>
            </w:r>
          </w:p>
          <w:p w:rsidR="00341B73" w:rsidRDefault="00341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1B73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894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894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Препоручује се да се у члану 10. став (4) Одлуке о издавању "Службеног гласника града Прњавор" ријечи "у штампаном облику"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замијене са "у електронском облику". </w:t>
            </w:r>
          </w:p>
        </w:tc>
      </w:tr>
      <w:tr w:rsidR="00341B73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се објављују документа у "Службеном гласнику града Прњавор".</w:t>
            </w:r>
          </w:p>
        </w:tc>
      </w:tr>
      <w:tr w:rsidR="00341B73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(постојеће стање, очекивано стање, одступања постојећег од очекиваног стања, узроци одступања постојећег 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3 - Необјављивање докумената у "Службеном гласнику града Прњавор" може довести до одређених правних посљедица, самим тим што у наведеном случају необјављени документ не би био доступан јавности, чиме би се нару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шило и начело транспарентности рада јединице локалне самоуправе, те се стога редовно и благовремено објављују документи у "Службеном гласнику града Прњавор".</w:t>
            </w:r>
          </w:p>
        </w:tc>
      </w:tr>
      <w:tr w:rsidR="00341B73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DF34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DF34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341B73"/>
        </w:tc>
      </w:tr>
      <w:tr w:rsidR="00341B73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Прихваћене: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Препоручује се да се у члану 10. став (4) Одлуке о издавању "Службеног гласника града Прњавор" ријечи "у штампаном облику" замијене са "у електронском облику".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341B73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Коментар руководства: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341B73"/>
        </w:tc>
      </w:tr>
      <w:tr w:rsidR="00341B73">
        <w:trPr>
          <w:trHeight w:val="324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341B73" w:rsidRDefault="0060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ПРИЛОЗИ </w:t>
            </w:r>
          </w:p>
        </w:tc>
      </w:tr>
      <w:tr w:rsidR="00341B73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341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341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1B73">
        <w:trPr>
          <w:trHeight w:val="336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341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1B73" w:rsidRDefault="00341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41B73" w:rsidRDefault="00341B73"/>
    <w:p w:rsidR="00341B73" w:rsidRDefault="00341B73"/>
    <w:tbl>
      <w:tblPr>
        <w:tblW w:w="13068" w:type="dxa"/>
        <w:tblLook w:val="0000"/>
      </w:tblPr>
      <w:tblGrid>
        <w:gridCol w:w="2157"/>
        <w:gridCol w:w="2158"/>
        <w:gridCol w:w="2158"/>
        <w:gridCol w:w="119"/>
        <w:gridCol w:w="2039"/>
        <w:gridCol w:w="2157"/>
        <w:gridCol w:w="2280"/>
      </w:tblGrid>
      <w:tr w:rsidR="00341B73">
        <w:tc>
          <w:tcPr>
            <w:tcW w:w="2157" w:type="dxa"/>
            <w:shd w:val="clear" w:color="auto" w:fill="auto"/>
          </w:tcPr>
          <w:p w:rsidR="00341B73" w:rsidRDefault="00341B73">
            <w:pPr>
              <w:spacing w:after="0" w:line="240" w:lineRule="auto"/>
              <w:jc w:val="center"/>
            </w:pPr>
          </w:p>
        </w:tc>
        <w:tc>
          <w:tcPr>
            <w:tcW w:w="2158" w:type="dxa"/>
            <w:tcBorders>
              <w:bottom w:val="single" w:sz="4" w:space="0" w:color="00000A"/>
            </w:tcBorders>
            <w:shd w:val="clear" w:color="auto" w:fill="auto"/>
          </w:tcPr>
          <w:p w:rsidR="00341B73" w:rsidRDefault="00341B73">
            <w:pPr>
              <w:spacing w:after="0" w:line="240" w:lineRule="auto"/>
              <w:jc w:val="center"/>
            </w:pPr>
          </w:p>
        </w:tc>
        <w:tc>
          <w:tcPr>
            <w:tcW w:w="2158" w:type="dxa"/>
            <w:shd w:val="clear" w:color="auto" w:fill="auto"/>
          </w:tcPr>
          <w:p w:rsidR="00341B73" w:rsidRDefault="00341B73">
            <w:pPr>
              <w:spacing w:after="0" w:line="240" w:lineRule="auto"/>
              <w:jc w:val="center"/>
            </w:pPr>
          </w:p>
        </w:tc>
        <w:tc>
          <w:tcPr>
            <w:tcW w:w="2158" w:type="dxa"/>
            <w:gridSpan w:val="2"/>
            <w:shd w:val="clear" w:color="auto" w:fill="auto"/>
          </w:tcPr>
          <w:p w:rsidR="00341B73" w:rsidRDefault="00341B73">
            <w:pPr>
              <w:spacing w:after="0" w:line="240" w:lineRule="auto"/>
              <w:jc w:val="center"/>
            </w:pPr>
          </w:p>
        </w:tc>
        <w:tc>
          <w:tcPr>
            <w:tcW w:w="2157" w:type="dxa"/>
            <w:tcBorders>
              <w:bottom w:val="single" w:sz="4" w:space="0" w:color="00000A"/>
            </w:tcBorders>
            <w:shd w:val="clear" w:color="auto" w:fill="auto"/>
          </w:tcPr>
          <w:p w:rsidR="00341B73" w:rsidRDefault="00341B73">
            <w:pPr>
              <w:spacing w:after="0" w:line="240" w:lineRule="auto"/>
              <w:jc w:val="center"/>
            </w:pPr>
          </w:p>
        </w:tc>
        <w:tc>
          <w:tcPr>
            <w:tcW w:w="2280" w:type="dxa"/>
            <w:shd w:val="clear" w:color="auto" w:fill="auto"/>
          </w:tcPr>
          <w:p w:rsidR="00341B73" w:rsidRDefault="00341B73">
            <w:pPr>
              <w:spacing w:after="0" w:line="240" w:lineRule="auto"/>
              <w:jc w:val="center"/>
            </w:pPr>
          </w:p>
        </w:tc>
      </w:tr>
      <w:tr w:rsidR="00341B73">
        <w:tc>
          <w:tcPr>
            <w:tcW w:w="6473" w:type="dxa"/>
            <w:gridSpan w:val="3"/>
            <w:shd w:val="clear" w:color="auto" w:fill="auto"/>
          </w:tcPr>
          <w:p w:rsidR="00341B73" w:rsidRPr="00926981" w:rsidRDefault="0034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</w:p>
        </w:tc>
        <w:tc>
          <w:tcPr>
            <w:tcW w:w="6595" w:type="dxa"/>
            <w:gridSpan w:val="4"/>
            <w:shd w:val="clear" w:color="auto" w:fill="auto"/>
          </w:tcPr>
          <w:p w:rsidR="00341B73" w:rsidRPr="00926981" w:rsidRDefault="0092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Зоран Дебељак, интерни ревизор</w:t>
            </w:r>
          </w:p>
        </w:tc>
      </w:tr>
      <w:tr w:rsidR="00341B73">
        <w:trPr>
          <w:trHeight w:val="1383"/>
        </w:trPr>
        <w:tc>
          <w:tcPr>
            <w:tcW w:w="13068" w:type="dxa"/>
            <w:gridSpan w:val="7"/>
            <w:shd w:val="clear" w:color="auto" w:fill="auto"/>
          </w:tcPr>
          <w:p w:rsidR="00341B73" w:rsidRDefault="00341B73">
            <w:pPr>
              <w:spacing w:after="0" w:line="240" w:lineRule="auto"/>
            </w:pPr>
          </w:p>
        </w:tc>
      </w:tr>
      <w:tr w:rsidR="00341B73">
        <w:tc>
          <w:tcPr>
            <w:tcW w:w="6592" w:type="dxa"/>
            <w:gridSpan w:val="4"/>
            <w:shd w:val="clear" w:color="auto" w:fill="auto"/>
          </w:tcPr>
          <w:p w:rsidR="00341B73" w:rsidRDefault="00605720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Коначан </w:t>
            </w:r>
            <w:r>
              <w:rPr>
                <w:rFonts w:ascii="Times New Roman" w:hAnsi="Times New Roman" w:cs="Times New Roman"/>
              </w:rPr>
              <w:t xml:space="preserve">ревизорски извјештај је достављен: </w:t>
            </w:r>
          </w:p>
        </w:tc>
        <w:tc>
          <w:tcPr>
            <w:tcW w:w="6476" w:type="dxa"/>
            <w:gridSpan w:val="3"/>
            <w:shd w:val="clear" w:color="auto" w:fill="auto"/>
          </w:tcPr>
          <w:p w:rsidR="00341B73" w:rsidRDefault="00341B73">
            <w:pPr>
              <w:spacing w:after="0" w:line="240" w:lineRule="auto"/>
            </w:pPr>
          </w:p>
        </w:tc>
      </w:tr>
      <w:tr w:rsidR="00341B73">
        <w:trPr>
          <w:trHeight w:val="960"/>
        </w:trPr>
        <w:tc>
          <w:tcPr>
            <w:tcW w:w="13068" w:type="dxa"/>
            <w:gridSpan w:val="7"/>
            <w:shd w:val="clear" w:color="auto" w:fill="auto"/>
          </w:tcPr>
          <w:p w:rsidR="00341B73" w:rsidRPr="00926981" w:rsidRDefault="00926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Стручна служба </w:t>
            </w:r>
            <w:r w:rsidR="00605720">
              <w:rPr>
                <w:rFonts w:ascii="Times New Roman" w:eastAsia="Times New Roman" w:hAnsi="Times New Roman" w:cs="Times New Roman"/>
                <w:color w:val="000000"/>
              </w:rPr>
              <w:t>Скупштине града</w:t>
            </w: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 Прњавор</w:t>
            </w:r>
            <w:r w:rsidR="00751C0D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,</w:t>
            </w:r>
          </w:p>
          <w:p w:rsidR="00341B73" w:rsidRDefault="006057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Руководилац субјекта,</w:t>
            </w:r>
          </w:p>
          <w:p w:rsidR="00341B73" w:rsidRDefault="006057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а/а</w:t>
            </w:r>
          </w:p>
        </w:tc>
      </w:tr>
    </w:tbl>
    <w:p w:rsidR="00341B73" w:rsidRDefault="00341B73"/>
    <w:sectPr w:rsidR="00341B73" w:rsidSect="00341B73">
      <w:headerReference w:type="default" r:id="rId7"/>
      <w:pgSz w:w="15840" w:h="12240" w:orient="landscape"/>
      <w:pgMar w:top="1440" w:right="1440" w:bottom="1440" w:left="1440" w:header="709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720" w:rsidRDefault="00605720" w:rsidP="00341B73">
      <w:pPr>
        <w:spacing w:after="0" w:line="240" w:lineRule="auto"/>
      </w:pPr>
      <w:r>
        <w:separator/>
      </w:r>
    </w:p>
  </w:endnote>
  <w:endnote w:type="continuationSeparator" w:id="1">
    <w:p w:rsidR="00605720" w:rsidRDefault="00605720" w:rsidP="00341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720" w:rsidRDefault="00605720" w:rsidP="00341B73">
      <w:pPr>
        <w:spacing w:after="0" w:line="240" w:lineRule="auto"/>
      </w:pPr>
      <w:r>
        <w:separator/>
      </w:r>
    </w:p>
  </w:footnote>
  <w:footnote w:type="continuationSeparator" w:id="1">
    <w:p w:rsidR="00605720" w:rsidRDefault="00605720" w:rsidP="00341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950" w:type="dxa"/>
      <w:tblBorders>
        <w:top w:val="single" w:sz="8" w:space="0" w:color="00000A"/>
        <w:left w:val="single" w:sz="8" w:space="0" w:color="00000A"/>
        <w:right w:val="single" w:sz="8" w:space="0" w:color="000001"/>
        <w:insideV w:val="single" w:sz="8" w:space="0" w:color="000001"/>
      </w:tblBorders>
      <w:tblCellMar>
        <w:left w:w="98" w:type="dxa"/>
      </w:tblCellMar>
      <w:tblLook w:val="0000"/>
    </w:tblPr>
    <w:tblGrid>
      <w:gridCol w:w="12950"/>
    </w:tblGrid>
    <w:tr w:rsidR="00341B73">
      <w:trPr>
        <w:trHeight w:val="576"/>
      </w:trPr>
      <w:tc>
        <w:tcPr>
          <w:tcW w:w="12950" w:type="dxa"/>
          <w:tcBorders>
            <w:top w:val="single" w:sz="8" w:space="0" w:color="00000A"/>
            <w:left w:val="single" w:sz="8" w:space="0" w:color="00000A"/>
            <w:right w:val="single" w:sz="8" w:space="0" w:color="000001"/>
          </w:tcBorders>
          <w:shd w:val="clear" w:color="auto" w:fill="D9E1F2"/>
          <w:tcMar>
            <w:left w:w="98" w:type="dxa"/>
          </w:tcMar>
        </w:tcPr>
        <w:p w:rsidR="00341B73" w:rsidRDefault="00605720">
          <w:pPr>
            <w:spacing w:after="0" w:line="240" w:lineRule="auto"/>
            <w:rPr>
              <w:rFonts w:ascii="Times New Roman" w:eastAsia="Times New Roman" w:hAnsi="Times New Roman" w:cs="Times New Roman"/>
              <w:i/>
              <w:iCs/>
            </w:rPr>
          </w:pPr>
          <w:r>
            <w:rPr>
              <w:rFonts w:ascii="Times New Roman" w:eastAsia="Times New Roman" w:hAnsi="Times New Roman" w:cs="Times New Roman"/>
              <w:i/>
              <w:iCs/>
            </w:rPr>
            <w:t>ЈИР - Град Прњавор</w:t>
          </w:r>
        </w:p>
      </w:tc>
    </w:tr>
    <w:tr w:rsidR="00341B73">
      <w:trPr>
        <w:trHeight w:val="432"/>
      </w:trPr>
      <w:tc>
        <w:tcPr>
          <w:tcW w:w="12950" w:type="dxa"/>
          <w:tcBorders>
            <w:left w:val="single" w:sz="8" w:space="0" w:color="00000A"/>
            <w:bottom w:val="single" w:sz="4" w:space="0" w:color="00000A"/>
            <w:right w:val="single" w:sz="8" w:space="0" w:color="000001"/>
          </w:tcBorders>
          <w:shd w:val="clear" w:color="auto" w:fill="FFFFFF"/>
          <w:tcMar>
            <w:left w:w="98" w:type="dxa"/>
          </w:tcMar>
        </w:tcPr>
        <w:p w:rsidR="00341B73" w:rsidRDefault="00605720">
          <w:pPr>
            <w:tabs>
              <w:tab w:val="left" w:pos="352"/>
              <w:tab w:val="right" w:pos="12734"/>
            </w:tabs>
            <w:spacing w:after="0" w:line="240" w:lineRule="auto"/>
            <w:jc w:val="right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ОБРАЗАЦ 7 </w:t>
          </w:r>
        </w:p>
      </w:tc>
    </w:tr>
  </w:tbl>
  <w:p w:rsidR="00341B73" w:rsidRDefault="00341B7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47BA4"/>
    <w:multiLevelType w:val="multilevel"/>
    <w:tmpl w:val="B2002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>
    <w:nsid w:val="676E3E2E"/>
    <w:multiLevelType w:val="multilevel"/>
    <w:tmpl w:val="6248CC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B73"/>
    <w:rsid w:val="00341B73"/>
    <w:rsid w:val="005809C3"/>
    <w:rsid w:val="00605720"/>
    <w:rsid w:val="00751C0D"/>
    <w:rsid w:val="0089462E"/>
    <w:rsid w:val="00926981"/>
    <w:rsid w:val="00D64FF9"/>
    <w:rsid w:val="00DF34C2"/>
    <w:rsid w:val="00FF1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B73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sid w:val="00341B73"/>
  </w:style>
  <w:style w:type="character" w:customStyle="1" w:styleId="FooterChar">
    <w:name w:val="Footer Char"/>
    <w:basedOn w:val="DefaultParagraphFont"/>
    <w:qFormat/>
    <w:rsid w:val="00341B73"/>
  </w:style>
  <w:style w:type="character" w:styleId="CommentReference">
    <w:name w:val="annotation reference"/>
    <w:basedOn w:val="DefaultParagraphFont"/>
    <w:qFormat/>
    <w:rsid w:val="00341B73"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sid w:val="00341B73"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sid w:val="00341B73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sid w:val="00341B73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rsid w:val="00341B73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rsid w:val="00341B73"/>
    <w:pPr>
      <w:spacing w:after="140" w:line="288" w:lineRule="auto"/>
    </w:pPr>
  </w:style>
  <w:style w:type="paragraph" w:styleId="List">
    <w:name w:val="List"/>
    <w:basedOn w:val="TextBody"/>
    <w:rsid w:val="00341B73"/>
  </w:style>
  <w:style w:type="paragraph" w:styleId="Caption">
    <w:name w:val="caption"/>
    <w:basedOn w:val="Normal"/>
    <w:qFormat/>
    <w:rsid w:val="00341B7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341B73"/>
    <w:pPr>
      <w:suppressLineNumbers/>
    </w:pPr>
  </w:style>
  <w:style w:type="paragraph" w:styleId="Header">
    <w:name w:val="header"/>
    <w:basedOn w:val="Normal"/>
    <w:rsid w:val="00341B7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rsid w:val="00341B73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qFormat/>
    <w:rsid w:val="00341B73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sid w:val="00341B73"/>
    <w:rPr>
      <w:b/>
      <w:bCs/>
    </w:rPr>
  </w:style>
  <w:style w:type="paragraph" w:styleId="BalloonText">
    <w:name w:val="Balloon Text"/>
    <w:basedOn w:val="Normal"/>
    <w:qFormat/>
    <w:rsid w:val="00341B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341B73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341B7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846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korisnik</cp:lastModifiedBy>
  <cp:revision>99</cp:revision>
  <dcterms:created xsi:type="dcterms:W3CDTF">2021-08-16T14:03:00Z</dcterms:created>
  <dcterms:modified xsi:type="dcterms:W3CDTF">2025-11-11T07:36:00Z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