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26A" w:rsidRDefault="00DB0762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Ревизорски извјештај</w:t>
      </w:r>
    </w:p>
    <w:tbl>
      <w:tblPr>
        <w:tblW w:w="13705" w:type="dxa"/>
        <w:tblInd w:w="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/>
      </w:tblPr>
      <w:tblGrid>
        <w:gridCol w:w="8090"/>
        <w:gridCol w:w="5615"/>
      </w:tblGrid>
      <w:tr w:rsidR="0051226A">
        <w:trPr>
          <w:trHeight w:val="360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1226A" w:rsidRDefault="00DB076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Назив ревизије: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1226A" w:rsidRDefault="00DB07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Ревизијa доношења пољопривредне сагласности у Одјељењу за пољопривреду, водопривреду и шумарство </w:t>
            </w:r>
          </w:p>
        </w:tc>
      </w:tr>
      <w:tr w:rsidR="0051226A">
        <w:trPr>
          <w:trHeight w:val="360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1226A" w:rsidRDefault="00DB07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Временски период обухваћен ревизијом: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1226A" w:rsidRDefault="00DB07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10/01/2024 - 31/01/2024</w:t>
            </w:r>
          </w:p>
        </w:tc>
      </w:tr>
      <w:tr w:rsidR="0051226A">
        <w:trPr>
          <w:trHeight w:val="360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1226A" w:rsidRDefault="00DB0762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Број ревизије: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1226A" w:rsidRDefault="00DB07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13-014-7/24</w:t>
            </w:r>
          </w:p>
        </w:tc>
      </w:tr>
      <w:tr w:rsidR="0051226A">
        <w:trPr>
          <w:trHeight w:val="360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1226A" w:rsidRDefault="00DB076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Назив ревидираног субјекта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/oрганизационе јединице укључене у ревидирани процес: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1226A" w:rsidRDefault="00DB07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Одјељење за пољопривреду, водопривреду и шумарство</w:t>
            </w:r>
          </w:p>
        </w:tc>
      </w:tr>
      <w:tr w:rsidR="0051226A">
        <w:trPr>
          <w:trHeight w:val="348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1226A" w:rsidRDefault="00DB07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Вођа ревизорског тима: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1226A" w:rsidRDefault="00DB0762">
            <w:pPr>
              <w:tabs>
                <w:tab w:val="left" w:pos="300"/>
                <w:tab w:val="center" w:pos="26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Зоран Дебељак</w:t>
            </w:r>
          </w:p>
        </w:tc>
      </w:tr>
      <w:tr w:rsidR="0051226A">
        <w:trPr>
          <w:trHeight w:val="908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1226A" w:rsidRDefault="00DB07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Чланови ревизорског тима: 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1226A" w:rsidRDefault="00DB07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Зоран Дебељак</w:t>
            </w:r>
          </w:p>
          <w:p w:rsidR="0051226A" w:rsidRDefault="00DB07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1226A">
        <w:trPr>
          <w:trHeight w:val="312"/>
        </w:trPr>
        <w:tc>
          <w:tcPr>
            <w:tcW w:w="137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left w:w="108" w:type="dxa"/>
            </w:tcMar>
          </w:tcPr>
          <w:p w:rsidR="0051226A" w:rsidRDefault="00DB07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ИЗВРШНИ РЕЗИМЕ</w:t>
            </w:r>
          </w:p>
        </w:tc>
      </w:tr>
      <w:tr w:rsidR="0051226A">
        <w:trPr>
          <w:trHeight w:val="611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1226A" w:rsidRDefault="00DB0762">
            <w:pPr>
              <w:pStyle w:val="CommentText"/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Слободан текст </w:t>
            </w:r>
            <w:r>
              <w:rPr>
                <w:rFonts w:ascii="Times New Roman" w:hAnsi="Times New Roman" w:cs="Times New Roman"/>
              </w:rPr>
              <w:t xml:space="preserve">(навести  кратак опис циљева и обима </w:t>
            </w:r>
            <w:r>
              <w:rPr>
                <w:rFonts w:ascii="Times New Roman" w:hAnsi="Times New Roman" w:cs="Times New Roman"/>
              </w:rPr>
              <w:t>ревизије, нај</w:t>
            </w:r>
            <w:r w:rsidR="009A6BC0">
              <w:rPr>
                <w:rFonts w:ascii="Times New Roman" w:hAnsi="Times New Roman" w:cs="Times New Roman"/>
              </w:rPr>
              <w:t>значајнијих налаза ревизије и њ</w:t>
            </w:r>
            <w:r>
              <w:rPr>
                <w:rFonts w:ascii="Times New Roman" w:hAnsi="Times New Roman" w:cs="Times New Roman"/>
              </w:rPr>
              <w:t>има везаних ризика)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1226A" w:rsidRDefault="00DB076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У току 2023. године био је огроман број предмета везан за доношење пољопривредне сагласности услијед легализације објеката, а циљ ове интерне ревизије је да утврди да ли је у ријешеним предм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етима сагласност донесена на основу потпуне документације, да ли је странка која је ослобођена од плаћања накнаде доставила адекватан доказ о ослобађању плаћања и да ли је тачно обрачуната накнада за промјену намјене.</w:t>
            </w:r>
          </w:p>
        </w:tc>
      </w:tr>
      <w:tr w:rsidR="0051226A">
        <w:trPr>
          <w:trHeight w:val="288"/>
        </w:trPr>
        <w:tc>
          <w:tcPr>
            <w:tcW w:w="137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left w:w="108" w:type="dxa"/>
            </w:tcMar>
          </w:tcPr>
          <w:p w:rsidR="0051226A" w:rsidRDefault="00DB07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 УВОД </w:t>
            </w:r>
          </w:p>
        </w:tc>
      </w:tr>
      <w:tr w:rsidR="0051226A">
        <w:trPr>
          <w:trHeight w:val="288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1226A" w:rsidRDefault="00DB0762">
            <w:pPr>
              <w:pStyle w:val="ListParagraph"/>
              <w:numPr>
                <w:ilvl w:val="1"/>
                <w:numId w:val="1"/>
              </w:num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Основ за ревизију: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1226A" w:rsidRDefault="00512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1226A">
        <w:trPr>
          <w:trHeight w:val="288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1226A" w:rsidRDefault="00DB0762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Предмет ревизије: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1226A" w:rsidRDefault="00512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1226A">
        <w:trPr>
          <w:trHeight w:val="288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1226A" w:rsidRDefault="00DB076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1.3. Циљеви интерне ревизије: 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1226A" w:rsidRDefault="00DB07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 Осигурати да је пољопривредна сагласност донесена на основу потпуне документације. </w:t>
            </w:r>
          </w:p>
          <w:p w:rsidR="0051226A" w:rsidRDefault="00DB07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Осигурати да странка која је ослобођена од плаћања накнаде доставила адекватан доказ о ослобађању плаћања.</w:t>
            </w:r>
          </w:p>
          <w:p w:rsidR="0051226A" w:rsidRDefault="00DB07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Осигу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рати да је тачно обрачуната накнада за промјену намјене пољопривредног земљишта у непољопривредне сврхе.  </w:t>
            </w:r>
          </w:p>
        </w:tc>
      </w:tr>
      <w:tr w:rsidR="0051226A">
        <w:trPr>
          <w:trHeight w:val="289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bottom"/>
          </w:tcPr>
          <w:p w:rsidR="0051226A" w:rsidRDefault="00DB076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1.4. Обим интерне ревизије: 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1226A" w:rsidRDefault="00DB07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Закон о пољопривредном земљишту („Службени гласник Републике Српске“ број 93/06, 86/07, 14/10, 5/12, 58/19, 119/21 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106/22), </w:t>
            </w:r>
          </w:p>
          <w:p w:rsidR="0051226A" w:rsidRDefault="00DB07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- Одлука о утврђивању катастарског прихода од земљишта („Службени гласник Републике Српске“ број 28/13), </w:t>
            </w:r>
          </w:p>
          <w:p w:rsidR="0051226A" w:rsidRDefault="00DB07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предмети доношења пољопривредне сагласности у 2023. години</w:t>
            </w:r>
          </w:p>
        </w:tc>
      </w:tr>
      <w:tr w:rsidR="0051226A">
        <w:trPr>
          <w:trHeight w:val="289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1226A" w:rsidRDefault="00DB076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1.5. Полазне информације о ревидираном подручју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1226A" w:rsidRDefault="00DB076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Пољопривредним земљиштем, 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смислу Закона о пољопривредном земљишту, сматрају се: њиве, вртови, воћњаци, виногради, ливаде, пашњаци, рибњаци, трстици и мочваре, као и друго земљиште које се по својим природним и економским особинама може најрационалније користити за пољопривредну пр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оизводњу. Такође се под пољопривредним земљиштем сматрају и земљишта којима је планским активностима Републике Српске општина и градова одређена друга намјена, све док се за та земљишта у поступку привођења планираној намјени не плати накнада за промјену 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амјене.</w:t>
            </w:r>
          </w:p>
          <w:p w:rsidR="0051226A" w:rsidRDefault="00DB07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Промјеном намјене пољопривредног земљишта сматра се свако коришћење пољопривредног земљишта за изградњу насеља, индустријских, енергетских и рударских објеката, жељезничких пруга, путева, водних акумулација, пошумљавање или други радови којима се 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рајно онемогућава коришћење тог земљишта за пољопривредну производњу.</w:t>
            </w:r>
          </w:p>
          <w:p w:rsidR="0051226A" w:rsidRDefault="00DB07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Обавезу плаћања и висину накнаде за промјену намјене пољопривредног земљишта рјешењем утврђује надлежни орган јединице локалне самоуправе. Накнаду за промјену намјене пољопривредног земљ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ишта инвеститор је дужан да плати прије издавања пољопривредне сагласности. Уз захтјев за издавање пољопривредне сагласности за промјену намјене пољопривредног земљишта инвеститор подноси: </w:t>
            </w:r>
          </w:p>
          <w:p w:rsidR="0051226A" w:rsidRDefault="00DB07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а) локацијске услове или урбанистичко-техничке услове овјерене од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управе надлежног за послове уређења простора,</w:t>
            </w:r>
          </w:p>
          <w:p w:rsidR="0051226A" w:rsidRDefault="00DB07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б) копију геодетског снимка ситуације стварно изведеног стања израђеног од овлашћеног лица за послове премјера и катастра непокретности, само у случају легализације бесправно изграђеног објекта,</w:t>
            </w:r>
          </w:p>
          <w:p w:rsidR="0051226A" w:rsidRDefault="00DB07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в) посједовни 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 или лист непокретности за парцелу за коју се тражи сагласност,</w:t>
            </w:r>
          </w:p>
          <w:p w:rsidR="0051226A" w:rsidRDefault="00DB07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г) копију катастарског плана или ажурну геодетску подлогу предмета обухвата,</w:t>
            </w:r>
          </w:p>
          <w:p w:rsidR="0051226A" w:rsidRDefault="00DB07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д) доказ о правном основу за коришћење земљишта, ако инвеститор није власник пољопривредног земљишта,</w:t>
            </w:r>
          </w:p>
          <w:p w:rsidR="0051226A" w:rsidRDefault="00DB07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ђ) доказ 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адлежног органа о претходном стању, уколико се у посједовном листу предметно земљиште води као непољопривредно.</w:t>
            </w:r>
          </w:p>
          <w:p w:rsidR="0051226A" w:rsidRDefault="00512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1226A" w:rsidRDefault="00DB07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Накнада за промјену намјене пољопривредног земљишта не плаћа се у случају:</w:t>
            </w:r>
          </w:p>
          <w:p w:rsidR="0051226A" w:rsidRDefault="00DB07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а) изградње, реконструкције или легализације стамбене зграде породич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ног пољопривредног газдинства површине до 500 m</w:t>
            </w:r>
            <w:r w:rsidRPr="00C64E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 циљу побољшања услова становања тог домаћинства, само у случају да се пољопривредно земљиште на коме се врши промјена намјене налази у сеоском подручју, односно ван градске зоне,</w:t>
            </w:r>
          </w:p>
          <w:p w:rsidR="0051226A" w:rsidRDefault="00DB07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б) изградње пољопривредних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објеката и изградње производних објеката у којима се обављају дјелатности из области прерађивачке индустрије, прописане уредбом којом се уређује класификација дјелатности у Републици Српској,</w:t>
            </w:r>
          </w:p>
          <w:p w:rsidR="0051226A" w:rsidRDefault="00DB07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в) одређивања локације за гробље или проширење гробља, као и за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изградњу вјерских објеката,</w:t>
            </w:r>
          </w:p>
          <w:p w:rsidR="0051226A" w:rsidRDefault="00DB07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г) изградње објеката који служе за одбрану од поплава, за одводњавање и наводњавање земљишта или за уређење бујица,</w:t>
            </w:r>
          </w:p>
          <w:p w:rsidR="0051226A" w:rsidRDefault="00DB07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д) регулације водотока у функцији уређења пољопривредног земљишта,</w:t>
            </w:r>
          </w:p>
          <w:p w:rsidR="0051226A" w:rsidRDefault="00DB07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ђ) изградње и проширења пољских путева који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доприносе рационалнијем коришћењу пољопривредног земљишта,</w:t>
            </w:r>
          </w:p>
          <w:p w:rsidR="0051226A" w:rsidRDefault="00DB07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е) пошумљавања обрадивог пољопривредног земљишта VI, VII и VIII катастарске класе, ако је основама утврђено да ће се то земљиште рационалније користити ако се пошуми,</w:t>
            </w:r>
          </w:p>
          <w:p w:rsidR="0051226A" w:rsidRDefault="00DB07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ж) подизања пољозаштитних поја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сева,</w:t>
            </w:r>
          </w:p>
          <w:p w:rsidR="0051226A" w:rsidRDefault="00DB07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з) изградње јавних путева и жељезничке инфраструктуре,</w:t>
            </w:r>
          </w:p>
          <w:p w:rsidR="0051226A" w:rsidRDefault="00DB07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и) изградње или легализације стамбеног објекта избјеглица, расељених лица и повратника на земљишту површине до 500 m</w:t>
            </w:r>
            <w:r w:rsidRPr="007835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ако то лице има статус или је имало статус избјеглице или расељеног лица у 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ријеме стицања власништва на земљишту намијењеном за стамбену изградњу, а то доказује увјерењем надлежног органа, </w:t>
            </w:r>
          </w:p>
          <w:p w:rsidR="0051226A" w:rsidRDefault="00DB07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ј) изградња или легализација стамбених објеката породицама погинулих и несталих бораца и ратних војних инвалида од I до VI категорије на земљ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ишту површине до 500 m</w:t>
            </w:r>
            <w:r w:rsidRPr="006E2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под условом да је надлежни орган утврдио статус породице погинулих и несталих бораца и ратних војних инвалида од I до VI категорије и да они немају ријешено стамбено питање и </w:t>
            </w:r>
          </w:p>
          <w:p w:rsidR="0051226A" w:rsidRDefault="00DB07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к) легализације објеката који се сматрају легално изгра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ђеним у складу са посебним прописом о легализацији бесправно изграђених објеката.</w:t>
            </w:r>
          </w:p>
          <w:p w:rsidR="0051226A" w:rsidRDefault="00512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1226A" w:rsidRDefault="00DB07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Рјешење о ослобађању од плаћања накнаде доноси надлежни орган јединице локалне самоуправе уколико је достављен адекватан доказ да је ослобођено од плаћања. </w:t>
            </w:r>
          </w:p>
        </w:tc>
      </w:tr>
      <w:tr w:rsidR="0051226A">
        <w:trPr>
          <w:trHeight w:val="289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1226A" w:rsidRDefault="00DB0762">
            <w:pPr>
              <w:pStyle w:val="CommentText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 xml:space="preserve">1.6. Позитивни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налази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  <w:p w:rsidR="0051226A" w:rsidRDefault="005122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1226A" w:rsidRDefault="00DB076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У узорку од 50 ревидираних предмета утврђено је да су пољопривредне сагласности донесене на основу потпуне документације, подносиоци захтјева који су били ослобођени плаћања накнаде су доставили уредан доказ о истом, а у случајевима плаћања накна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 иста је била тачно обрачуната и достављен је доказ да је иста уплаћена.</w:t>
            </w:r>
          </w:p>
        </w:tc>
      </w:tr>
      <w:tr w:rsidR="0051226A">
        <w:trPr>
          <w:trHeight w:val="289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1226A" w:rsidRDefault="00DB076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1.7. Одговорности: 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1226A" w:rsidRDefault="00512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1226A">
        <w:trPr>
          <w:trHeight w:val="289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1226A" w:rsidRDefault="00DB076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1.8. Ограничења ревизије: 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1226A" w:rsidRDefault="00512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1226A">
        <w:trPr>
          <w:trHeight w:val="289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1226A" w:rsidRDefault="0051226A">
            <w:pPr>
              <w:pStyle w:val="CommentTex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1226A" w:rsidRDefault="00512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1226A">
        <w:trPr>
          <w:trHeight w:val="300"/>
        </w:trPr>
        <w:tc>
          <w:tcPr>
            <w:tcW w:w="137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left w:w="108" w:type="dxa"/>
            </w:tcMar>
          </w:tcPr>
          <w:p w:rsidR="0051226A" w:rsidRDefault="00DB076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НАЛАЗИ, ЗАКЉУЧЦИ И ПРЕПОРУКЕ</w:t>
            </w:r>
          </w:p>
        </w:tc>
      </w:tr>
      <w:tr w:rsidR="0051226A">
        <w:trPr>
          <w:trHeight w:val="312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1226A" w:rsidRDefault="00DB076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Претходни ревизијски преглед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(спровођење препорука из претходне ревизије)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1226A" w:rsidRDefault="00512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226A">
        <w:trPr>
          <w:trHeight w:val="312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1226A" w:rsidRDefault="00DB07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Контролни циљ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1226A" w:rsidRDefault="00DB076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Осигурати да је пољопривредна сагласност донесена на основу потпуне документације. </w:t>
            </w:r>
          </w:p>
        </w:tc>
      </w:tr>
      <w:tr w:rsidR="0051226A">
        <w:trPr>
          <w:trHeight w:val="600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1226A" w:rsidRDefault="00DB076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Налази и закључци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(постојеће стање, очекивано стање, одступања постојећег од очекиваног стања, узроци одступања постојећег од очекиваног стања, учинци утврђених слабости):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1226A" w:rsidRDefault="00DB07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1 - У току 2023. године поднесено је преко 700 захтјева за доношење пољопривредне сагласности од којих је ријешено стотињак. Разлог за оволики број предмета је легализација бесправно изграђених објеката у којима је потребна и пољопривредна сагласност за 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ретварање пољопривредног земљишта у непољопривредне сврхе. Како би се ријешио захтјев пољопривредне сагласности везан за легализацију, неопходно је да сарадници из Одјељења за просторно уређење изађу на терен и сачине записник о изграђеном објекту.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Услијед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огромног броја захтјева није било могуће све одрадити у 2023. години. Како бисмо се увјерили да је пољопривредна сагласност донесена на основу потпуне документације, узели смо узорак од 50 случајно одабраних и ријешених предмета из 2023. године. Сви ревид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ирани предмети имали су потпуну документацију на основу које је донесена пољопривредна сагласност. У сваком рјешењу пољопривредне сагласности детаљно је наведена документација на основу које је рјешење донесено. Већина подносилаца из ревидираног узорка су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била ослобођена плаћања накнаде јер се радило о легализацији објеката, док је у мањем броју случајева плаћена накнада. У предметима плаћања накнаде доносе се два рјешења: прво рјешење у коме је наведен износ обрачунате накнаде и број текућег рачуна на који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је исту потребно уплатити и друго рјешење о пољопривредној сагласности које се доноси након што подносилац достави доказ о уплаћеној накнади.</w:t>
            </w:r>
          </w:p>
        </w:tc>
      </w:tr>
      <w:tr w:rsidR="0051226A">
        <w:trPr>
          <w:trHeight w:val="372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1226A" w:rsidRDefault="00DB0762" w:rsidP="0077426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 xml:space="preserve">Препоруке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(коре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="007742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BA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ивна активност коју треба провести):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1226A" w:rsidRDefault="0051226A"/>
        </w:tc>
      </w:tr>
      <w:tr w:rsidR="0051226A">
        <w:trPr>
          <w:trHeight w:val="312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1226A" w:rsidRDefault="00DB07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Контролни циљ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1226A" w:rsidRDefault="00DB076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Осигурати да странка која је ослобођена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 плаћања накнаде доставила адекватан доказ о ослобађању плаћања.</w:t>
            </w:r>
          </w:p>
        </w:tc>
      </w:tr>
      <w:tr w:rsidR="0051226A">
        <w:trPr>
          <w:trHeight w:val="600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1226A" w:rsidRDefault="00DB076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Налази и закључци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(постојеће стање, очекивано стање, одступања постојећег од очекиваног стања, узроци одступања постојећег од очекиваног стања, учинци утврђених слабости):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1226A" w:rsidRDefault="00DB07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2 - У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ревидираном узорку од 50 предмета, чак 44 подносиоца захтјева су били ослобођени плаћања накнаде, а у свим случајевима су имали доказ о ослобађању плаћања накнаде. У готово свим случајевима ревидираног узорка као доказ је послужило увјерење Републичке упра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 за геодетско и имовинско-правне послове Бања Лука подручна јединица Прњавор (скраћено РУГИП ПЈ Прњавор) гдје је наведено да је подносилац захтјева ослобођен од плаћања накнада или других трошкова у складу са чланом 8. став 9. Закона о легализацији беспр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авно изграђених објеката ("Службени гласник Републике Српске", број 62/18 и 93/22). У ревидираном узорку само у два случаја су као доказ послужили неки други документи: у једном случају рјешење Одјељења за борачко-инвалидску заштиту, а у другом случају рје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шење Одјељења за просторно уређење.</w:t>
            </w:r>
          </w:p>
        </w:tc>
      </w:tr>
      <w:tr w:rsidR="0051226A">
        <w:trPr>
          <w:trHeight w:val="372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1226A" w:rsidRDefault="00DB076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 xml:space="preserve">Препоруке </w:t>
            </w:r>
            <w:r w:rsidR="00422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(коре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="00422E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BA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ивна активност коју треба провести):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1226A" w:rsidRDefault="0051226A"/>
        </w:tc>
      </w:tr>
      <w:tr w:rsidR="0051226A">
        <w:trPr>
          <w:trHeight w:val="312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1226A" w:rsidRDefault="00DB07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Контролни циљ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1226A" w:rsidRDefault="00DB076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Осигурати да је тачно обрачуната накнада за промјену намјене пољопривредног земљишта у непољопривредне сврхе.</w:t>
            </w:r>
          </w:p>
        </w:tc>
      </w:tr>
      <w:tr w:rsidR="0051226A">
        <w:trPr>
          <w:trHeight w:val="600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1226A" w:rsidRDefault="00DB076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Налази и закључци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(постојеће стање,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очекивано стање, одступања постојећег од очекиваног стања, узроци одступања постојећег од очекиваног стања, учинци утврђених слабости):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1226A" w:rsidRDefault="00DB07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3 - У ревидираном узорку било је 6 случајева у којима је обрачуната накнада за претварање пољопривредног земљишта у непо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љопривредне сврхе, а накнадном провјером утврђено је да је накнада обрачуната тачно. Приликом обрачуна накнаде редовно се проводи двојна контрола обрачунатог износа и то: од стране сарадника који обрађује предмет, затим од стране начелника одјељења, а нако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 достављања рјешења градском пољопривредном инспектору исти провјерава како законитост доношења рјешења тако и износ обрачунате накнаде. Процедура код обрачуна висине накнаде се одвија кроз двије фазе управног поступка: прво се донесе рјешење о висини нак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наде, па тек након достављања доказа о уплаћеној накнади приступа се доношењу рјешења којим се даје пољопривредна сагласност.</w:t>
            </w:r>
          </w:p>
        </w:tc>
      </w:tr>
      <w:tr w:rsidR="0051226A">
        <w:trPr>
          <w:trHeight w:val="372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1226A" w:rsidRDefault="00DB076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Препоруке </w:t>
            </w:r>
            <w:r w:rsidR="00873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(коре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="00873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BA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ивна активност коју треба провести):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1226A" w:rsidRDefault="0051226A"/>
        </w:tc>
      </w:tr>
      <w:tr w:rsidR="0051226A">
        <w:trPr>
          <w:trHeight w:val="312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1226A" w:rsidRDefault="00DB076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Прихваћене: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1226A" w:rsidRDefault="0051226A"/>
        </w:tc>
      </w:tr>
      <w:tr w:rsidR="0051226A">
        <w:trPr>
          <w:trHeight w:val="288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1226A" w:rsidRDefault="00DB07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Коментар руководства: 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1226A" w:rsidRDefault="0051226A"/>
        </w:tc>
      </w:tr>
      <w:tr w:rsidR="0051226A">
        <w:trPr>
          <w:trHeight w:val="324"/>
        </w:trPr>
        <w:tc>
          <w:tcPr>
            <w:tcW w:w="137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left w:w="108" w:type="dxa"/>
            </w:tcMar>
          </w:tcPr>
          <w:p w:rsidR="0051226A" w:rsidRDefault="00DB07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3. ПРИЛОЗИ </w:t>
            </w:r>
          </w:p>
        </w:tc>
      </w:tr>
      <w:tr w:rsidR="0051226A">
        <w:trPr>
          <w:trHeight w:val="348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1226A" w:rsidRDefault="005122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1226A" w:rsidRDefault="00512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226A">
        <w:trPr>
          <w:trHeight w:val="336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1226A" w:rsidRDefault="005122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51226A" w:rsidRDefault="00512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1226A" w:rsidRDefault="0051226A"/>
    <w:p w:rsidR="0051226A" w:rsidRDefault="0051226A"/>
    <w:tbl>
      <w:tblPr>
        <w:tblW w:w="13068" w:type="dxa"/>
        <w:tblLook w:val="0000"/>
      </w:tblPr>
      <w:tblGrid>
        <w:gridCol w:w="2157"/>
        <w:gridCol w:w="2158"/>
        <w:gridCol w:w="2158"/>
        <w:gridCol w:w="119"/>
        <w:gridCol w:w="2039"/>
        <w:gridCol w:w="2157"/>
        <w:gridCol w:w="2280"/>
      </w:tblGrid>
      <w:tr w:rsidR="0051226A">
        <w:tc>
          <w:tcPr>
            <w:tcW w:w="2157" w:type="dxa"/>
            <w:shd w:val="clear" w:color="auto" w:fill="auto"/>
          </w:tcPr>
          <w:p w:rsidR="0051226A" w:rsidRDefault="0051226A">
            <w:pPr>
              <w:spacing w:after="0" w:line="240" w:lineRule="auto"/>
              <w:jc w:val="center"/>
            </w:pPr>
          </w:p>
        </w:tc>
        <w:tc>
          <w:tcPr>
            <w:tcW w:w="2158" w:type="dxa"/>
            <w:tcBorders>
              <w:bottom w:val="single" w:sz="4" w:space="0" w:color="00000A"/>
            </w:tcBorders>
            <w:shd w:val="clear" w:color="auto" w:fill="auto"/>
          </w:tcPr>
          <w:p w:rsidR="0051226A" w:rsidRDefault="0051226A">
            <w:pPr>
              <w:spacing w:after="0" w:line="240" w:lineRule="auto"/>
              <w:jc w:val="center"/>
            </w:pPr>
          </w:p>
        </w:tc>
        <w:tc>
          <w:tcPr>
            <w:tcW w:w="2158" w:type="dxa"/>
            <w:shd w:val="clear" w:color="auto" w:fill="auto"/>
          </w:tcPr>
          <w:p w:rsidR="0051226A" w:rsidRDefault="0051226A">
            <w:pPr>
              <w:spacing w:after="0" w:line="240" w:lineRule="auto"/>
              <w:jc w:val="center"/>
            </w:pPr>
          </w:p>
        </w:tc>
        <w:tc>
          <w:tcPr>
            <w:tcW w:w="2158" w:type="dxa"/>
            <w:gridSpan w:val="2"/>
            <w:shd w:val="clear" w:color="auto" w:fill="auto"/>
          </w:tcPr>
          <w:p w:rsidR="0051226A" w:rsidRDefault="0051226A">
            <w:pPr>
              <w:spacing w:after="0" w:line="240" w:lineRule="auto"/>
              <w:jc w:val="center"/>
            </w:pPr>
          </w:p>
        </w:tc>
        <w:tc>
          <w:tcPr>
            <w:tcW w:w="2157" w:type="dxa"/>
            <w:tcBorders>
              <w:bottom w:val="single" w:sz="4" w:space="0" w:color="00000A"/>
            </w:tcBorders>
            <w:shd w:val="clear" w:color="auto" w:fill="auto"/>
          </w:tcPr>
          <w:p w:rsidR="0051226A" w:rsidRDefault="0051226A">
            <w:pPr>
              <w:spacing w:after="0" w:line="240" w:lineRule="auto"/>
              <w:jc w:val="center"/>
            </w:pPr>
          </w:p>
        </w:tc>
        <w:tc>
          <w:tcPr>
            <w:tcW w:w="2280" w:type="dxa"/>
            <w:shd w:val="clear" w:color="auto" w:fill="auto"/>
          </w:tcPr>
          <w:p w:rsidR="0051226A" w:rsidRDefault="0051226A">
            <w:pPr>
              <w:spacing w:after="0" w:line="240" w:lineRule="auto"/>
              <w:jc w:val="center"/>
            </w:pPr>
          </w:p>
        </w:tc>
      </w:tr>
      <w:tr w:rsidR="0051226A">
        <w:tc>
          <w:tcPr>
            <w:tcW w:w="6473" w:type="dxa"/>
            <w:gridSpan w:val="3"/>
            <w:shd w:val="clear" w:color="auto" w:fill="auto"/>
          </w:tcPr>
          <w:p w:rsidR="0051226A" w:rsidRPr="00873E24" w:rsidRDefault="0051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r-Cyrl-BA"/>
              </w:rPr>
            </w:pPr>
          </w:p>
        </w:tc>
        <w:tc>
          <w:tcPr>
            <w:tcW w:w="6595" w:type="dxa"/>
            <w:gridSpan w:val="4"/>
            <w:shd w:val="clear" w:color="auto" w:fill="auto"/>
          </w:tcPr>
          <w:p w:rsidR="0051226A" w:rsidRPr="00873E24" w:rsidRDefault="00873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r-Cyrl-BA"/>
              </w:rPr>
              <w:t>Зоран Дебељак, интерни ревизор</w:t>
            </w:r>
          </w:p>
        </w:tc>
      </w:tr>
      <w:tr w:rsidR="0051226A">
        <w:trPr>
          <w:trHeight w:val="1383"/>
        </w:trPr>
        <w:tc>
          <w:tcPr>
            <w:tcW w:w="13068" w:type="dxa"/>
            <w:gridSpan w:val="7"/>
            <w:shd w:val="clear" w:color="auto" w:fill="auto"/>
          </w:tcPr>
          <w:p w:rsidR="0051226A" w:rsidRDefault="0051226A">
            <w:pPr>
              <w:spacing w:after="0" w:line="240" w:lineRule="auto"/>
            </w:pPr>
          </w:p>
        </w:tc>
      </w:tr>
      <w:tr w:rsidR="0051226A">
        <w:tc>
          <w:tcPr>
            <w:tcW w:w="6592" w:type="dxa"/>
            <w:gridSpan w:val="4"/>
            <w:shd w:val="clear" w:color="auto" w:fill="auto"/>
          </w:tcPr>
          <w:p w:rsidR="0051226A" w:rsidRDefault="00DB0762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Коначан ревизорски извјештај је достављен: </w:t>
            </w:r>
          </w:p>
        </w:tc>
        <w:tc>
          <w:tcPr>
            <w:tcW w:w="6476" w:type="dxa"/>
            <w:gridSpan w:val="3"/>
            <w:shd w:val="clear" w:color="auto" w:fill="auto"/>
          </w:tcPr>
          <w:p w:rsidR="0051226A" w:rsidRDefault="0051226A">
            <w:pPr>
              <w:spacing w:after="0" w:line="240" w:lineRule="auto"/>
            </w:pPr>
          </w:p>
        </w:tc>
      </w:tr>
      <w:tr w:rsidR="0051226A">
        <w:trPr>
          <w:trHeight w:val="960"/>
        </w:trPr>
        <w:tc>
          <w:tcPr>
            <w:tcW w:w="13068" w:type="dxa"/>
            <w:gridSpan w:val="7"/>
            <w:shd w:val="clear" w:color="auto" w:fill="auto"/>
          </w:tcPr>
          <w:p w:rsidR="0051226A" w:rsidRDefault="00DB07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Одјељење за пољопривреду, водопривреду и шумарство</w:t>
            </w:r>
          </w:p>
          <w:p w:rsidR="0051226A" w:rsidRDefault="00DB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Руководилац субјекта,</w:t>
            </w:r>
          </w:p>
          <w:p w:rsidR="0051226A" w:rsidRDefault="00DB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а/а</w:t>
            </w:r>
          </w:p>
        </w:tc>
      </w:tr>
    </w:tbl>
    <w:p w:rsidR="0051226A" w:rsidRDefault="0051226A"/>
    <w:sectPr w:rsidR="0051226A" w:rsidSect="0051226A">
      <w:headerReference w:type="default" r:id="rId7"/>
      <w:pgSz w:w="15840" w:h="12240" w:orient="landscape"/>
      <w:pgMar w:top="1440" w:right="1440" w:bottom="1440" w:left="1440" w:header="709" w:footer="0" w:gutter="0"/>
      <w:pgNumType w:start="1"/>
      <w:cols w:space="720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0762" w:rsidRDefault="00DB0762" w:rsidP="0051226A">
      <w:pPr>
        <w:spacing w:after="0" w:line="240" w:lineRule="auto"/>
      </w:pPr>
      <w:r>
        <w:separator/>
      </w:r>
    </w:p>
  </w:endnote>
  <w:endnote w:type="continuationSeparator" w:id="1">
    <w:p w:rsidR="00DB0762" w:rsidRDefault="00DB0762" w:rsidP="005122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iberation Sans">
    <w:altName w:val="Arial"/>
    <w:panose1 w:val="020B0604020202020204"/>
    <w:charset w:val="01"/>
    <w:family w:val="swiss"/>
    <w:pitch w:val="variable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0762" w:rsidRDefault="00DB0762" w:rsidP="0051226A">
      <w:pPr>
        <w:spacing w:after="0" w:line="240" w:lineRule="auto"/>
      </w:pPr>
      <w:r>
        <w:separator/>
      </w:r>
    </w:p>
  </w:footnote>
  <w:footnote w:type="continuationSeparator" w:id="1">
    <w:p w:rsidR="00DB0762" w:rsidRDefault="00DB0762" w:rsidP="005122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2950" w:type="dxa"/>
      <w:tblBorders>
        <w:top w:val="single" w:sz="8" w:space="0" w:color="00000A"/>
        <w:left w:val="single" w:sz="8" w:space="0" w:color="00000A"/>
        <w:right w:val="single" w:sz="8" w:space="0" w:color="000001"/>
        <w:insideV w:val="single" w:sz="8" w:space="0" w:color="000001"/>
      </w:tblBorders>
      <w:tblCellMar>
        <w:left w:w="98" w:type="dxa"/>
      </w:tblCellMar>
      <w:tblLook w:val="0000"/>
    </w:tblPr>
    <w:tblGrid>
      <w:gridCol w:w="12950"/>
    </w:tblGrid>
    <w:tr w:rsidR="0051226A">
      <w:trPr>
        <w:trHeight w:val="576"/>
      </w:trPr>
      <w:tc>
        <w:tcPr>
          <w:tcW w:w="12950" w:type="dxa"/>
          <w:tcBorders>
            <w:top w:val="single" w:sz="8" w:space="0" w:color="00000A"/>
            <w:left w:val="single" w:sz="8" w:space="0" w:color="00000A"/>
            <w:right w:val="single" w:sz="8" w:space="0" w:color="000001"/>
          </w:tcBorders>
          <w:shd w:val="clear" w:color="auto" w:fill="D9E1F2"/>
          <w:tcMar>
            <w:left w:w="98" w:type="dxa"/>
          </w:tcMar>
        </w:tcPr>
        <w:p w:rsidR="0051226A" w:rsidRDefault="00DB0762">
          <w:pPr>
            <w:spacing w:after="0" w:line="240" w:lineRule="auto"/>
            <w:rPr>
              <w:rFonts w:ascii="Times New Roman" w:eastAsia="Times New Roman" w:hAnsi="Times New Roman" w:cs="Times New Roman"/>
              <w:i/>
              <w:iCs/>
            </w:rPr>
          </w:pPr>
          <w:r>
            <w:rPr>
              <w:rFonts w:ascii="Times New Roman" w:eastAsia="Times New Roman" w:hAnsi="Times New Roman" w:cs="Times New Roman"/>
              <w:i/>
              <w:iCs/>
            </w:rPr>
            <w:t>ЈИР - Град Прњавор</w:t>
          </w:r>
        </w:p>
      </w:tc>
    </w:tr>
    <w:tr w:rsidR="0051226A">
      <w:trPr>
        <w:trHeight w:val="432"/>
      </w:trPr>
      <w:tc>
        <w:tcPr>
          <w:tcW w:w="12950" w:type="dxa"/>
          <w:tcBorders>
            <w:left w:val="single" w:sz="8" w:space="0" w:color="00000A"/>
            <w:bottom w:val="single" w:sz="4" w:space="0" w:color="00000A"/>
            <w:right w:val="single" w:sz="8" w:space="0" w:color="000001"/>
          </w:tcBorders>
          <w:shd w:val="clear" w:color="auto" w:fill="FFFFFF"/>
          <w:tcMar>
            <w:left w:w="98" w:type="dxa"/>
          </w:tcMar>
        </w:tcPr>
        <w:p w:rsidR="0051226A" w:rsidRDefault="00DB0762">
          <w:pPr>
            <w:tabs>
              <w:tab w:val="left" w:pos="352"/>
              <w:tab w:val="right" w:pos="12734"/>
            </w:tabs>
            <w:spacing w:after="0" w:line="240" w:lineRule="auto"/>
            <w:jc w:val="right"/>
          </w:pP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ОБРАЗАЦ 7 </w:t>
          </w:r>
        </w:p>
      </w:tc>
    </w:tr>
  </w:tbl>
  <w:p w:rsidR="0051226A" w:rsidRDefault="0051226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AF204C"/>
    <w:multiLevelType w:val="multilevel"/>
    <w:tmpl w:val="6288690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1191055"/>
    <w:multiLevelType w:val="multilevel"/>
    <w:tmpl w:val="DD4A1C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1226A"/>
    <w:rsid w:val="00422E9E"/>
    <w:rsid w:val="0051226A"/>
    <w:rsid w:val="006E2F6F"/>
    <w:rsid w:val="00774261"/>
    <w:rsid w:val="00783581"/>
    <w:rsid w:val="00873E24"/>
    <w:rsid w:val="009A6BC0"/>
    <w:rsid w:val="00C64E94"/>
    <w:rsid w:val="00DB0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ahoma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226A"/>
    <w:pPr>
      <w:spacing w:after="16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qFormat/>
    <w:rsid w:val="0051226A"/>
  </w:style>
  <w:style w:type="character" w:customStyle="1" w:styleId="FooterChar">
    <w:name w:val="Footer Char"/>
    <w:basedOn w:val="DefaultParagraphFont"/>
    <w:qFormat/>
    <w:rsid w:val="0051226A"/>
  </w:style>
  <w:style w:type="character" w:styleId="CommentReference">
    <w:name w:val="annotation reference"/>
    <w:basedOn w:val="DefaultParagraphFont"/>
    <w:qFormat/>
    <w:rsid w:val="0051226A"/>
    <w:rPr>
      <w:sz w:val="16"/>
      <w:szCs w:val="16"/>
    </w:rPr>
  </w:style>
  <w:style w:type="character" w:customStyle="1" w:styleId="CommentTextChar">
    <w:name w:val="Comment Text Char"/>
    <w:basedOn w:val="DefaultParagraphFont"/>
    <w:qFormat/>
    <w:rsid w:val="0051226A"/>
    <w:rPr>
      <w:sz w:val="20"/>
      <w:szCs w:val="20"/>
    </w:rPr>
  </w:style>
  <w:style w:type="character" w:customStyle="1" w:styleId="CommentSubjectChar">
    <w:name w:val="Comment Subject Char"/>
    <w:basedOn w:val="CommentTextChar"/>
    <w:qFormat/>
    <w:rsid w:val="0051226A"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qFormat/>
    <w:rsid w:val="0051226A"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Normal"/>
    <w:next w:val="TextBody"/>
    <w:qFormat/>
    <w:rsid w:val="0051226A"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customStyle="1" w:styleId="TextBody">
    <w:name w:val="Text Body"/>
    <w:basedOn w:val="Normal"/>
    <w:rsid w:val="0051226A"/>
    <w:pPr>
      <w:spacing w:after="140" w:line="288" w:lineRule="auto"/>
    </w:pPr>
  </w:style>
  <w:style w:type="paragraph" w:styleId="List">
    <w:name w:val="List"/>
    <w:basedOn w:val="TextBody"/>
    <w:rsid w:val="0051226A"/>
  </w:style>
  <w:style w:type="paragraph" w:styleId="Caption">
    <w:name w:val="caption"/>
    <w:basedOn w:val="Normal"/>
    <w:qFormat/>
    <w:rsid w:val="0051226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qFormat/>
    <w:rsid w:val="0051226A"/>
    <w:pPr>
      <w:suppressLineNumbers/>
    </w:pPr>
  </w:style>
  <w:style w:type="paragraph" w:styleId="Header">
    <w:name w:val="header"/>
    <w:basedOn w:val="Normal"/>
    <w:rsid w:val="0051226A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rsid w:val="0051226A"/>
    <w:pPr>
      <w:tabs>
        <w:tab w:val="center" w:pos="4680"/>
        <w:tab w:val="right" w:pos="9360"/>
      </w:tabs>
      <w:spacing w:after="0" w:line="240" w:lineRule="auto"/>
    </w:pPr>
  </w:style>
  <w:style w:type="paragraph" w:styleId="CommentText">
    <w:name w:val="annotation text"/>
    <w:basedOn w:val="Normal"/>
    <w:qFormat/>
    <w:rsid w:val="0051226A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qFormat/>
    <w:rsid w:val="0051226A"/>
    <w:rPr>
      <w:b/>
      <w:bCs/>
    </w:rPr>
  </w:style>
  <w:style w:type="paragraph" w:styleId="BalloonText">
    <w:name w:val="Balloon Text"/>
    <w:basedOn w:val="Normal"/>
    <w:qFormat/>
    <w:rsid w:val="0051226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rsid w:val="0051226A"/>
    <w:pPr>
      <w:ind w:left="720"/>
      <w:contextualSpacing/>
    </w:pPr>
  </w:style>
  <w:style w:type="paragraph" w:customStyle="1" w:styleId="TableContents">
    <w:name w:val="Table Contents"/>
    <w:basedOn w:val="Normal"/>
    <w:qFormat/>
    <w:rsid w:val="0051226A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7</Pages>
  <Words>1585</Words>
  <Characters>9041</Characters>
  <Application>Microsoft Office Word</Application>
  <DocSecurity>0</DocSecurity>
  <Lines>75</Lines>
  <Paragraphs>21</Paragraphs>
  <ScaleCrop>false</ScaleCrop>
  <Company/>
  <LinksUpToDate>false</LinksUpToDate>
  <CharactersWithSpaces>10605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Dzana Bordanic</dc:creator>
  <dc:description/>
  <cp:lastModifiedBy>korisnik</cp:lastModifiedBy>
  <cp:revision>103</cp:revision>
  <dcterms:created xsi:type="dcterms:W3CDTF">2021-08-16T14:03:00Z</dcterms:created>
  <dcterms:modified xsi:type="dcterms:W3CDTF">2024-01-25T11:15:00Z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