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D9" w:rsidRDefault="00A83BC8">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A634D9">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Ревизијa исплате подстицајних средстава за ванредне потребе у пољопривреди у Одјељењу за пољопривреду, водопривреду и шумарство </w:t>
            </w:r>
          </w:p>
        </w:tc>
      </w:tr>
      <w:tr w:rsidR="00A634D9">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81420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05/02/2025 - 24</w:t>
            </w:r>
            <w:r w:rsidR="00A83BC8">
              <w:rPr>
                <w:rFonts w:ascii="Times New Roman" w:eastAsia="Times New Roman" w:hAnsi="Times New Roman" w:cs="Times New Roman"/>
                <w:color w:val="000000"/>
                <w:sz w:val="20"/>
                <w:szCs w:val="20"/>
              </w:rPr>
              <w:t>/02/2025</w:t>
            </w:r>
          </w:p>
        </w:tc>
      </w:tr>
      <w:tr w:rsidR="00A634D9">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hAnsi="Times New Roman" w:cs="Times New Roman"/>
                <w:sz w:val="20"/>
                <w:szCs w:val="20"/>
              </w:rPr>
            </w:pPr>
            <w:r>
              <w:rPr>
                <w:rFonts w:ascii="Times New Roman" w:hAnsi="Times New Roman" w:cs="Times New Roman"/>
                <w:sz w:val="20"/>
                <w:szCs w:val="20"/>
              </w:rPr>
              <w:t>13-014-30/25</w:t>
            </w:r>
          </w:p>
        </w:tc>
      </w:tr>
      <w:tr w:rsidR="00A634D9">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Одјељење за пољопривреду, водопривреду и шумарство</w:t>
            </w:r>
          </w:p>
        </w:tc>
      </w:tr>
      <w:tr w:rsidR="00A634D9">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A634D9">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A634D9">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A634D9">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pStyle w:val="CommentText"/>
            </w:pPr>
            <w:r>
              <w:rPr>
                <w:rFonts w:ascii="Times New Roman" w:hAnsi="Times New Roman" w:cs="Times New Roman"/>
                <w:b/>
                <w:bCs/>
              </w:rPr>
              <w:t xml:space="preserve">Слободан текст </w:t>
            </w:r>
            <w:r>
              <w:rPr>
                <w:rFonts w:ascii="Times New Roman" w:hAnsi="Times New Roman" w:cs="Times New Roman"/>
              </w:rPr>
              <w:t>(навести  кратак опис циљева и обима ревизије, нај</w:t>
            </w:r>
            <w:r w:rsidR="00814202">
              <w:rPr>
                <w:rFonts w:ascii="Times New Roman" w:hAnsi="Times New Roman" w:cs="Times New Roman"/>
              </w:rPr>
              <w:t>значајнијих налаза ревизије и 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color w:val="000000"/>
                <w:sz w:val="20"/>
                <w:szCs w:val="20"/>
              </w:rPr>
              <w:t xml:space="preserve"> При Одјељењу за пољопривреду, водопривреду и шумарство постоји могућност исплате подстицаја за ванредне потребе у пољопривреди, а ради се </w:t>
            </w:r>
            <w:r>
              <w:rPr>
                <w:rFonts w:ascii="Times New Roman" w:eastAsia="Times New Roman" w:hAnsi="Times New Roman" w:cs="Times New Roman"/>
                <w:color w:val="000000"/>
                <w:sz w:val="20"/>
                <w:szCs w:val="20"/>
              </w:rPr>
              <w:t>о могућности настанка штете при нападу паса луталица или дивљих животиња на сточни фонд пољопривредног газдинства. Циљ ове интерне ревизије је да се испита на који начин су додјељивана средства за ванредне потребе у пољопривреди у 2024. години.</w:t>
            </w:r>
          </w:p>
        </w:tc>
      </w:tr>
      <w:tr w:rsidR="00A634D9">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A634D9">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color w:val="000000"/>
                <w:sz w:val="20"/>
                <w:szCs w:val="20"/>
              </w:rPr>
            </w:pPr>
          </w:p>
        </w:tc>
      </w:tr>
      <w:tr w:rsidR="00A634D9">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color w:val="000000"/>
                <w:sz w:val="20"/>
                <w:szCs w:val="20"/>
              </w:rPr>
            </w:pPr>
          </w:p>
        </w:tc>
      </w:tr>
      <w:tr w:rsidR="00A634D9">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Осигурати да су средства одобрена на основу адекватне документације и записника комисије. </w:t>
            </w:r>
          </w:p>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Осигурати да су средства исплаћена у складу са важећим правилником.</w:t>
            </w:r>
          </w:p>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Осигурати да не </w:t>
            </w:r>
            <w:r>
              <w:rPr>
                <w:rFonts w:ascii="Times New Roman" w:eastAsia="Times New Roman" w:hAnsi="Times New Roman" w:cs="Times New Roman"/>
                <w:color w:val="000000"/>
                <w:sz w:val="20"/>
                <w:szCs w:val="20"/>
              </w:rPr>
              <w:t>долази до погрешне теренске обраде захтјева од стране комисије.</w:t>
            </w:r>
          </w:p>
        </w:tc>
      </w:tr>
      <w:tr w:rsidR="00A634D9">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A634D9" w:rsidRDefault="00A83BC8">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Програм коришћења средстава за унапређење пољопривредне производње у 2024. години („Службени гласник града Прњавор“ број 3/24), </w:t>
            </w:r>
          </w:p>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предмети исплате подстицајних</w:t>
            </w:r>
            <w:r>
              <w:rPr>
                <w:rFonts w:ascii="Times New Roman" w:eastAsia="Times New Roman" w:hAnsi="Times New Roman" w:cs="Times New Roman"/>
                <w:color w:val="000000"/>
                <w:sz w:val="20"/>
                <w:szCs w:val="20"/>
              </w:rPr>
              <w:t xml:space="preserve"> средстава за ванредне потребе у 2024. години</w:t>
            </w:r>
          </w:p>
        </w:tc>
      </w:tr>
      <w:tr w:rsidR="00A634D9">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color w:val="000000"/>
                <w:sz w:val="20"/>
                <w:szCs w:val="20"/>
              </w:rPr>
              <w:t xml:space="preserve"> У протеклом периоду појавио се одређени број пољопривредних произвођача који су подносили захтјеве за додјелу новчаних средстава по основу штета које су </w:t>
            </w:r>
            <w:r>
              <w:rPr>
                <w:rFonts w:ascii="Times New Roman" w:eastAsia="Times New Roman" w:hAnsi="Times New Roman" w:cs="Times New Roman"/>
                <w:color w:val="000000"/>
                <w:sz w:val="20"/>
                <w:szCs w:val="20"/>
              </w:rPr>
              <w:t>причињене од стране дивљих животиња (вук, шакал, медвјед) и паса луталица на сточном фонду.</w:t>
            </w:r>
          </w:p>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Висина накнаде на име процијењене штете на сточном фонду од стране дивљих животиња и паса луталица износи до 30 % укупно обрачунатог новчаног износа по појединачном</w:t>
            </w:r>
            <w:r>
              <w:rPr>
                <w:rFonts w:ascii="Times New Roman" w:eastAsia="Times New Roman" w:hAnsi="Times New Roman" w:cs="Times New Roman"/>
                <w:color w:val="000000"/>
                <w:sz w:val="20"/>
                <w:szCs w:val="20"/>
              </w:rPr>
              <w:t xml:space="preserve"> захтјеву, уз обавезу да је власник животиња предузео одговарајуће мјере заштите (жичане ограде минималне висине од једног метра, животиње затворене у одговарајућим објектима у току ноћи и слично).</w:t>
            </w:r>
          </w:p>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Рок за подношење захтјева је 01. новембар текуће године. У</w:t>
            </w:r>
            <w:r>
              <w:rPr>
                <w:rFonts w:ascii="Times New Roman" w:eastAsia="Times New Roman" w:hAnsi="Times New Roman" w:cs="Times New Roman"/>
                <w:color w:val="000000"/>
                <w:sz w:val="20"/>
                <w:szCs w:val="20"/>
              </w:rPr>
              <w:t xml:space="preserve">колико дође до штета на сточном фонду након истека овог рока, пољопривредни произвођач ће поднијети захтјев након настале штете, а новчана средства наплатити након усвајања програма на наредну годину. </w:t>
            </w:r>
          </w:p>
        </w:tc>
      </w:tr>
      <w:tr w:rsidR="00A634D9">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pStyle w:val="CommentText"/>
            </w:pPr>
            <w:r>
              <w:rPr>
                <w:rFonts w:ascii="Times New Roman" w:eastAsia="Times New Roman" w:hAnsi="Times New Roman" w:cs="Times New Roman"/>
                <w:b/>
                <w:bCs/>
                <w:color w:val="000000"/>
              </w:rPr>
              <w:t>1.6. Позитивни налази</w:t>
            </w:r>
            <w:r>
              <w:rPr>
                <w:rFonts w:ascii="Times New Roman" w:eastAsia="Times New Roman" w:hAnsi="Times New Roman" w:cs="Times New Roman"/>
                <w:color w:val="000000"/>
              </w:rPr>
              <w:t>:</w:t>
            </w:r>
          </w:p>
          <w:p w:rsidR="00A634D9" w:rsidRDefault="00A634D9">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Свих 10 предмета ванредних потреба у пољопривреди реализована у 2024. години посједују адекватну документацију као што су записници комисије и фото докази, а висина исплаћених средстава је обрачуната према проценту дефинисаним важећим правилником.  </w:t>
            </w:r>
          </w:p>
        </w:tc>
      </w:tr>
      <w:tr w:rsidR="00A634D9">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1.7. </w:t>
            </w:r>
            <w:r>
              <w:rPr>
                <w:rFonts w:ascii="Times New Roman" w:eastAsia="Times New Roman" w:hAnsi="Times New Roman" w:cs="Times New Roman"/>
                <w:b/>
                <w:bCs/>
                <w:color w:val="000000"/>
                <w:sz w:val="20"/>
                <w:szCs w:val="20"/>
              </w:rPr>
              <w:t xml:space="preserve">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color w:val="000000"/>
                <w:sz w:val="20"/>
                <w:szCs w:val="20"/>
              </w:rPr>
            </w:pPr>
          </w:p>
        </w:tc>
      </w:tr>
      <w:tr w:rsidR="00A634D9">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color w:val="000000"/>
                <w:sz w:val="20"/>
                <w:szCs w:val="20"/>
              </w:rPr>
            </w:pPr>
          </w:p>
        </w:tc>
      </w:tr>
      <w:tr w:rsidR="00A634D9">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color w:val="000000"/>
                <w:sz w:val="20"/>
                <w:szCs w:val="20"/>
              </w:rPr>
            </w:pPr>
          </w:p>
        </w:tc>
      </w:tr>
      <w:tr w:rsidR="00A634D9">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634D9" w:rsidRDefault="00A83BC8">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A634D9">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jc w:val="both"/>
              <w:rPr>
                <w:rFonts w:ascii="Times New Roman" w:eastAsia="Times New Roman" w:hAnsi="Times New Roman" w:cs="Times New Roman"/>
                <w:color w:val="000000"/>
                <w:sz w:val="24"/>
                <w:szCs w:val="24"/>
              </w:rPr>
            </w:pPr>
          </w:p>
        </w:tc>
      </w:tr>
      <w:tr w:rsidR="00A634D9">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су средства одобрена на основу адекватне документације и записника комисије. </w:t>
            </w:r>
          </w:p>
        </w:tc>
      </w:tr>
      <w:tr w:rsidR="00A634D9">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w:t>
            </w:r>
            <w:r>
              <w:rPr>
                <w:rFonts w:ascii="Times New Roman" w:eastAsia="Times New Roman" w:hAnsi="Times New Roman" w:cs="Times New Roman"/>
                <w:color w:val="000000"/>
                <w:sz w:val="20"/>
                <w:szCs w:val="20"/>
              </w:rPr>
              <w:t>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 У свих 10 захтјева за ванредне потребе у пољопривреди који су реализовани у 2024. години налазила се неопходна документација за остваривање наведеног права, а ради се о следећим документима: потврда да је подносилац захтјева </w:t>
            </w:r>
            <w:r>
              <w:rPr>
                <w:rFonts w:ascii="Times New Roman" w:eastAsia="Times New Roman" w:hAnsi="Times New Roman" w:cs="Times New Roman"/>
                <w:color w:val="000000"/>
                <w:sz w:val="20"/>
                <w:szCs w:val="20"/>
              </w:rPr>
              <w:lastRenderedPageBreak/>
              <w:t>уписан у регистар п</w:t>
            </w:r>
            <w:r>
              <w:rPr>
                <w:rFonts w:ascii="Times New Roman" w:eastAsia="Times New Roman" w:hAnsi="Times New Roman" w:cs="Times New Roman"/>
                <w:color w:val="000000"/>
                <w:sz w:val="20"/>
                <w:szCs w:val="20"/>
              </w:rPr>
              <w:t>ољопривредних газдинстава, фото документација страдалих оваца и јагњади од стране паса луталица сачињена од стране ловочувара, те записник комисије која је изашла на лице мјеста и утврдила чињенично стање, а комисију чине два представника из Одјељења за по</w:t>
            </w:r>
            <w:r>
              <w:rPr>
                <w:rFonts w:ascii="Times New Roman" w:eastAsia="Times New Roman" w:hAnsi="Times New Roman" w:cs="Times New Roman"/>
                <w:color w:val="000000"/>
                <w:sz w:val="20"/>
                <w:szCs w:val="20"/>
              </w:rPr>
              <w:t>љопривреду и ловочувар.</w:t>
            </w:r>
          </w:p>
        </w:tc>
      </w:tr>
      <w:tr w:rsidR="00A634D9">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2F1084">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2F1084">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tc>
      </w:tr>
      <w:tr w:rsidR="00A634D9">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су средства исплаћена у складу са важећим правилником.</w:t>
            </w:r>
          </w:p>
        </w:tc>
      </w:tr>
      <w:tr w:rsidR="00A634D9">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одступања постојећег од очекиваног </w:t>
            </w:r>
            <w:r>
              <w:rPr>
                <w:rFonts w:ascii="Times New Roman" w:eastAsia="Times New Roman" w:hAnsi="Times New Roman" w:cs="Times New Roman"/>
                <w:color w:val="000000"/>
                <w:sz w:val="20"/>
                <w:szCs w:val="20"/>
              </w:rPr>
              <w:t>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 Према важећем правилнику, рок за подношење пријава за подстицаје је 01. новембар, након чега се сви предмети који испуњавају услове припремају за исплату средстава у де</w:t>
            </w:r>
            <w:r>
              <w:rPr>
                <w:rFonts w:ascii="Times New Roman" w:eastAsia="Times New Roman" w:hAnsi="Times New Roman" w:cs="Times New Roman"/>
                <w:color w:val="000000"/>
                <w:sz w:val="20"/>
                <w:szCs w:val="20"/>
              </w:rPr>
              <w:t>цембру текуће године, а чија висина зависи од расположивости средстава и броја реализованих захтјева. Уколико се захтјев за ванредне подстицаје поднесе у задња два мјесеца у години, а што може бити случај јер се захтјев подноси оног момента када настане шт</w:t>
            </w:r>
            <w:r>
              <w:rPr>
                <w:rFonts w:ascii="Times New Roman" w:eastAsia="Times New Roman" w:hAnsi="Times New Roman" w:cs="Times New Roman"/>
                <w:color w:val="000000"/>
                <w:sz w:val="20"/>
                <w:szCs w:val="20"/>
              </w:rPr>
              <w:t>ета, такви предмети се реализују у наредној години, што је био и случај у 2024. години када су три предмета с краја 2023. године реализована у децембру 2024. године. Према важећем правилнику, на име подстицаја може се добити до 30 % процијењене штете, а ук</w:t>
            </w:r>
            <w:r>
              <w:rPr>
                <w:rFonts w:ascii="Times New Roman" w:eastAsia="Times New Roman" w:hAnsi="Times New Roman" w:cs="Times New Roman"/>
                <w:color w:val="000000"/>
                <w:sz w:val="20"/>
                <w:szCs w:val="20"/>
              </w:rPr>
              <w:t>олико на ставци остане расположивих средстава као што је био случај у 2024. години, у складу са шестим поглављем правилника које говори о општим одредбама исплате средстава, износ је процентуално порастао на 32,96% (близу 33 % процијењене вриједности штете</w:t>
            </w:r>
            <w:r>
              <w:rPr>
                <w:rFonts w:ascii="Times New Roman" w:eastAsia="Times New Roman" w:hAnsi="Times New Roman" w:cs="Times New Roman"/>
                <w:color w:val="000000"/>
                <w:sz w:val="20"/>
                <w:szCs w:val="20"/>
              </w:rPr>
              <w:t xml:space="preserve">). Сви реализовани предмети ванредних подстицаја се шаљу у Министарство пољопривреде, водопривреде и шумарства одакле оштећени корисници добијају још 30 % вриједности процјењене штете. </w:t>
            </w:r>
          </w:p>
        </w:tc>
      </w:tr>
      <w:tr w:rsidR="00A634D9">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Препоруке </w:t>
            </w:r>
            <w:r w:rsidR="008650D1">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8650D1">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tc>
      </w:tr>
      <w:tr w:rsidR="00A634D9">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не долази до погрешне теренске обраде захтјева од стране комисије.  </w:t>
            </w:r>
          </w:p>
        </w:tc>
      </w:tr>
      <w:tr w:rsidR="00A634D9">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 Како би се комисија одлучила да исплати штету подносиоцу захтјева неопходно је да изађе на терен и увјери се на лицу мјеста о постојању штете. Уколико се штета деси </w:t>
            </w:r>
            <w:r>
              <w:rPr>
                <w:rFonts w:ascii="Times New Roman" w:eastAsia="Times New Roman" w:hAnsi="Times New Roman" w:cs="Times New Roman"/>
                <w:color w:val="000000"/>
                <w:sz w:val="20"/>
                <w:szCs w:val="20"/>
              </w:rPr>
              <w:lastRenderedPageBreak/>
              <w:t>током викенда или се захтјев не поднесе правовремено након причињене штете, на лице мј</w:t>
            </w:r>
            <w:r>
              <w:rPr>
                <w:rFonts w:ascii="Times New Roman" w:eastAsia="Times New Roman" w:hAnsi="Times New Roman" w:cs="Times New Roman"/>
                <w:color w:val="000000"/>
                <w:sz w:val="20"/>
                <w:szCs w:val="20"/>
              </w:rPr>
              <w:t>еста одмах излази ловочувар који је уједно и члан комисије, те фотографише затечено стање које служи за даљи рад комисије. У два случаја из 2024. године, напад паса луталица на овце је био пријављен полицији која је изашла на терен и саставила записник кој</w:t>
            </w:r>
            <w:r>
              <w:rPr>
                <w:rFonts w:ascii="Times New Roman" w:eastAsia="Times New Roman" w:hAnsi="Times New Roman" w:cs="Times New Roman"/>
                <w:color w:val="000000"/>
                <w:sz w:val="20"/>
                <w:szCs w:val="20"/>
              </w:rPr>
              <w:t>и је прослијеђен Одјељењу за пољопривреду. Такође, у одређеним захтјевима је уочено да подносиоци знају пријавити и већу штету за коју не буде утврђен доказ, па се средства исплаћују само на основу утврђеног фото доказа (нпр. пријави се нестанак неколико о</w:t>
            </w:r>
            <w:r>
              <w:rPr>
                <w:rFonts w:ascii="Times New Roman" w:eastAsia="Times New Roman" w:hAnsi="Times New Roman" w:cs="Times New Roman"/>
                <w:color w:val="000000"/>
                <w:sz w:val="20"/>
                <w:szCs w:val="20"/>
              </w:rPr>
              <w:t>ваца, а исплата се обрачунава само на онолико за које постоји конкретан фото доказ да су страдале).</w:t>
            </w:r>
          </w:p>
        </w:tc>
      </w:tr>
      <w:tr w:rsidR="00A634D9">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1B30CA">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1B30CA">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tc>
      </w:tr>
      <w:tr w:rsidR="00A634D9">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tc>
      </w:tr>
      <w:tr w:rsidR="00A634D9">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83B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tc>
      </w:tr>
      <w:tr w:rsidR="00A634D9">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A634D9" w:rsidRDefault="00A83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A634D9">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color w:val="000000"/>
                <w:sz w:val="24"/>
                <w:szCs w:val="24"/>
              </w:rPr>
            </w:pPr>
          </w:p>
        </w:tc>
      </w:tr>
      <w:tr w:rsidR="00A634D9">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34D9" w:rsidRDefault="00A634D9">
            <w:pPr>
              <w:spacing w:after="0" w:line="240" w:lineRule="auto"/>
              <w:rPr>
                <w:rFonts w:ascii="Times New Roman" w:eastAsia="Times New Roman" w:hAnsi="Times New Roman" w:cs="Times New Roman"/>
                <w:color w:val="000000"/>
                <w:sz w:val="24"/>
                <w:szCs w:val="24"/>
              </w:rPr>
            </w:pPr>
          </w:p>
        </w:tc>
      </w:tr>
    </w:tbl>
    <w:p w:rsidR="00A634D9" w:rsidRDefault="00A634D9"/>
    <w:p w:rsidR="00A634D9" w:rsidRDefault="00A634D9"/>
    <w:tbl>
      <w:tblPr>
        <w:tblW w:w="13068" w:type="dxa"/>
        <w:tblLook w:val="0000"/>
      </w:tblPr>
      <w:tblGrid>
        <w:gridCol w:w="2157"/>
        <w:gridCol w:w="2158"/>
        <w:gridCol w:w="2158"/>
        <w:gridCol w:w="119"/>
        <w:gridCol w:w="2039"/>
        <w:gridCol w:w="2157"/>
        <w:gridCol w:w="2280"/>
      </w:tblGrid>
      <w:tr w:rsidR="00A634D9">
        <w:tc>
          <w:tcPr>
            <w:tcW w:w="2157" w:type="dxa"/>
            <w:shd w:val="clear" w:color="auto" w:fill="auto"/>
          </w:tcPr>
          <w:p w:rsidR="00A634D9" w:rsidRDefault="00A634D9">
            <w:pPr>
              <w:spacing w:after="0" w:line="240" w:lineRule="auto"/>
              <w:jc w:val="center"/>
            </w:pPr>
          </w:p>
        </w:tc>
        <w:tc>
          <w:tcPr>
            <w:tcW w:w="2158" w:type="dxa"/>
            <w:tcBorders>
              <w:bottom w:val="single" w:sz="4" w:space="0" w:color="00000A"/>
            </w:tcBorders>
            <w:shd w:val="clear" w:color="auto" w:fill="auto"/>
          </w:tcPr>
          <w:p w:rsidR="00A634D9" w:rsidRDefault="00A634D9">
            <w:pPr>
              <w:spacing w:after="0" w:line="240" w:lineRule="auto"/>
              <w:jc w:val="center"/>
            </w:pPr>
          </w:p>
        </w:tc>
        <w:tc>
          <w:tcPr>
            <w:tcW w:w="2158" w:type="dxa"/>
            <w:shd w:val="clear" w:color="auto" w:fill="auto"/>
          </w:tcPr>
          <w:p w:rsidR="00A634D9" w:rsidRDefault="00A634D9">
            <w:pPr>
              <w:spacing w:after="0" w:line="240" w:lineRule="auto"/>
              <w:jc w:val="center"/>
            </w:pPr>
          </w:p>
        </w:tc>
        <w:tc>
          <w:tcPr>
            <w:tcW w:w="2158" w:type="dxa"/>
            <w:gridSpan w:val="2"/>
            <w:shd w:val="clear" w:color="auto" w:fill="auto"/>
          </w:tcPr>
          <w:p w:rsidR="00A634D9" w:rsidRDefault="00A634D9">
            <w:pPr>
              <w:spacing w:after="0" w:line="240" w:lineRule="auto"/>
              <w:jc w:val="center"/>
            </w:pPr>
          </w:p>
        </w:tc>
        <w:tc>
          <w:tcPr>
            <w:tcW w:w="2157" w:type="dxa"/>
            <w:tcBorders>
              <w:bottom w:val="single" w:sz="4" w:space="0" w:color="00000A"/>
            </w:tcBorders>
            <w:shd w:val="clear" w:color="auto" w:fill="auto"/>
          </w:tcPr>
          <w:p w:rsidR="00A634D9" w:rsidRDefault="00A634D9">
            <w:pPr>
              <w:spacing w:after="0" w:line="240" w:lineRule="auto"/>
              <w:jc w:val="center"/>
            </w:pPr>
          </w:p>
        </w:tc>
        <w:tc>
          <w:tcPr>
            <w:tcW w:w="2280" w:type="dxa"/>
            <w:shd w:val="clear" w:color="auto" w:fill="auto"/>
          </w:tcPr>
          <w:p w:rsidR="00A634D9" w:rsidRDefault="00A634D9">
            <w:pPr>
              <w:spacing w:after="0" w:line="240" w:lineRule="auto"/>
              <w:jc w:val="center"/>
            </w:pPr>
          </w:p>
        </w:tc>
      </w:tr>
      <w:tr w:rsidR="00A634D9">
        <w:tc>
          <w:tcPr>
            <w:tcW w:w="6473" w:type="dxa"/>
            <w:gridSpan w:val="3"/>
            <w:shd w:val="clear" w:color="auto" w:fill="auto"/>
          </w:tcPr>
          <w:p w:rsidR="00A634D9" w:rsidRPr="001B30CA" w:rsidRDefault="00A634D9">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A634D9" w:rsidRPr="001B30CA" w:rsidRDefault="001B30CA">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A634D9">
        <w:trPr>
          <w:trHeight w:val="1383"/>
        </w:trPr>
        <w:tc>
          <w:tcPr>
            <w:tcW w:w="13068" w:type="dxa"/>
            <w:gridSpan w:val="7"/>
            <w:shd w:val="clear" w:color="auto" w:fill="auto"/>
          </w:tcPr>
          <w:p w:rsidR="001B30CA" w:rsidRDefault="001B30CA">
            <w:pPr>
              <w:spacing w:after="0" w:line="240" w:lineRule="auto"/>
              <w:rPr>
                <w:lang w:val="sr-Cyrl-BA"/>
              </w:rPr>
            </w:pPr>
          </w:p>
          <w:p w:rsidR="001B30CA" w:rsidRDefault="001B30CA">
            <w:pPr>
              <w:spacing w:after="0" w:line="240" w:lineRule="auto"/>
              <w:rPr>
                <w:lang w:val="sr-Cyrl-BA"/>
              </w:rPr>
            </w:pPr>
          </w:p>
          <w:p w:rsidR="001B30CA" w:rsidRDefault="001B30CA">
            <w:pPr>
              <w:spacing w:after="0" w:line="240" w:lineRule="auto"/>
              <w:rPr>
                <w:lang w:val="sr-Cyrl-BA"/>
              </w:rPr>
            </w:pPr>
          </w:p>
          <w:p w:rsidR="001B30CA" w:rsidRDefault="001B30CA">
            <w:pPr>
              <w:spacing w:after="0" w:line="240" w:lineRule="auto"/>
              <w:rPr>
                <w:lang w:val="sr-Cyrl-BA"/>
              </w:rPr>
            </w:pPr>
          </w:p>
          <w:p w:rsidR="001B30CA" w:rsidRDefault="001B30CA">
            <w:pPr>
              <w:spacing w:after="0" w:line="240" w:lineRule="auto"/>
              <w:rPr>
                <w:lang w:val="sr-Cyrl-BA"/>
              </w:rPr>
            </w:pPr>
          </w:p>
          <w:p w:rsidR="001B30CA" w:rsidRDefault="001B30CA">
            <w:pPr>
              <w:spacing w:after="0" w:line="240" w:lineRule="auto"/>
              <w:rPr>
                <w:lang w:val="sr-Cyrl-BA"/>
              </w:rPr>
            </w:pPr>
          </w:p>
          <w:p w:rsidR="001B30CA" w:rsidRDefault="001B30CA">
            <w:pPr>
              <w:spacing w:after="0" w:line="240" w:lineRule="auto"/>
              <w:rPr>
                <w:lang w:val="sr-Cyrl-BA"/>
              </w:rPr>
            </w:pPr>
          </w:p>
          <w:p w:rsidR="001B30CA" w:rsidRPr="001B30CA" w:rsidRDefault="001B30CA">
            <w:pPr>
              <w:spacing w:after="0" w:line="240" w:lineRule="auto"/>
              <w:rPr>
                <w:lang w:val="sr-Cyrl-BA"/>
              </w:rPr>
            </w:pPr>
          </w:p>
        </w:tc>
      </w:tr>
      <w:tr w:rsidR="00A634D9">
        <w:tc>
          <w:tcPr>
            <w:tcW w:w="6592" w:type="dxa"/>
            <w:gridSpan w:val="4"/>
            <w:shd w:val="clear" w:color="auto" w:fill="auto"/>
          </w:tcPr>
          <w:p w:rsidR="00A634D9" w:rsidRDefault="00A83BC8">
            <w:pPr>
              <w:spacing w:after="0" w:line="240" w:lineRule="auto"/>
            </w:pPr>
            <w:r>
              <w:rPr>
                <w:rFonts w:ascii="Times New Roman" w:hAnsi="Times New Roman" w:cs="Times New Roman"/>
              </w:rPr>
              <w:lastRenderedPageBreak/>
              <w:t xml:space="preserve">Коначан </w:t>
            </w:r>
            <w:r>
              <w:rPr>
                <w:rFonts w:ascii="Times New Roman" w:hAnsi="Times New Roman" w:cs="Times New Roman"/>
              </w:rPr>
              <w:t xml:space="preserve">ревизорски извјештај је достављен: </w:t>
            </w:r>
          </w:p>
        </w:tc>
        <w:tc>
          <w:tcPr>
            <w:tcW w:w="6476" w:type="dxa"/>
            <w:gridSpan w:val="3"/>
            <w:shd w:val="clear" w:color="auto" w:fill="auto"/>
          </w:tcPr>
          <w:p w:rsidR="00A634D9" w:rsidRDefault="00A634D9">
            <w:pPr>
              <w:spacing w:after="0" w:line="240" w:lineRule="auto"/>
            </w:pPr>
          </w:p>
        </w:tc>
      </w:tr>
      <w:tr w:rsidR="00A634D9">
        <w:trPr>
          <w:trHeight w:val="960"/>
        </w:trPr>
        <w:tc>
          <w:tcPr>
            <w:tcW w:w="13068" w:type="dxa"/>
            <w:gridSpan w:val="7"/>
            <w:shd w:val="clear" w:color="auto" w:fill="auto"/>
          </w:tcPr>
          <w:p w:rsidR="00A634D9" w:rsidRDefault="00A83BC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 пољопривреду, водопривреду и шумарство</w:t>
            </w:r>
          </w:p>
          <w:p w:rsidR="00A634D9" w:rsidRDefault="00A83BC8">
            <w:pPr>
              <w:spacing w:after="0" w:line="240" w:lineRule="auto"/>
              <w:rPr>
                <w:rFonts w:ascii="Times New Roman" w:hAnsi="Times New Roman" w:cs="Times New Roman"/>
              </w:rPr>
            </w:pPr>
            <w:r>
              <w:rPr>
                <w:rFonts w:ascii="Times New Roman" w:hAnsi="Times New Roman" w:cs="Times New Roman"/>
              </w:rPr>
              <w:t>Руководилац субјекта,</w:t>
            </w:r>
          </w:p>
          <w:p w:rsidR="00A634D9" w:rsidRDefault="00A83BC8">
            <w:pPr>
              <w:spacing w:after="0" w:line="240" w:lineRule="auto"/>
              <w:rPr>
                <w:rFonts w:ascii="Times New Roman" w:hAnsi="Times New Roman" w:cs="Times New Roman"/>
              </w:rPr>
            </w:pPr>
            <w:r>
              <w:rPr>
                <w:rFonts w:ascii="Times New Roman" w:hAnsi="Times New Roman" w:cs="Times New Roman"/>
              </w:rPr>
              <w:t>а/а</w:t>
            </w:r>
          </w:p>
        </w:tc>
      </w:tr>
    </w:tbl>
    <w:p w:rsidR="00A634D9" w:rsidRDefault="00A634D9"/>
    <w:sectPr w:rsidR="00A634D9" w:rsidSect="00A634D9">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BC8" w:rsidRDefault="00A83BC8" w:rsidP="00A634D9">
      <w:pPr>
        <w:spacing w:after="0" w:line="240" w:lineRule="auto"/>
      </w:pPr>
      <w:r>
        <w:separator/>
      </w:r>
    </w:p>
  </w:endnote>
  <w:endnote w:type="continuationSeparator" w:id="1">
    <w:p w:rsidR="00A83BC8" w:rsidRDefault="00A83BC8" w:rsidP="00A63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BC8" w:rsidRDefault="00A83BC8" w:rsidP="00A634D9">
      <w:pPr>
        <w:spacing w:after="0" w:line="240" w:lineRule="auto"/>
      </w:pPr>
      <w:r>
        <w:separator/>
      </w:r>
    </w:p>
  </w:footnote>
  <w:footnote w:type="continuationSeparator" w:id="1">
    <w:p w:rsidR="00A83BC8" w:rsidRDefault="00A83BC8" w:rsidP="00A63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A634D9">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A634D9" w:rsidRDefault="00A83BC8">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A634D9">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A634D9" w:rsidRDefault="00A83BC8">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A634D9" w:rsidRDefault="00A634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D3"/>
    <w:multiLevelType w:val="multilevel"/>
    <w:tmpl w:val="FE582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2BE22B48"/>
    <w:multiLevelType w:val="multilevel"/>
    <w:tmpl w:val="670A40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34D9"/>
    <w:rsid w:val="001B30CA"/>
    <w:rsid w:val="002F1084"/>
    <w:rsid w:val="00814202"/>
    <w:rsid w:val="008650D1"/>
    <w:rsid w:val="00A634D9"/>
    <w:rsid w:val="00A83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4D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A634D9"/>
  </w:style>
  <w:style w:type="character" w:customStyle="1" w:styleId="FooterChar">
    <w:name w:val="Footer Char"/>
    <w:basedOn w:val="DefaultParagraphFont"/>
    <w:qFormat/>
    <w:rsid w:val="00A634D9"/>
  </w:style>
  <w:style w:type="character" w:styleId="CommentReference">
    <w:name w:val="annotation reference"/>
    <w:basedOn w:val="DefaultParagraphFont"/>
    <w:qFormat/>
    <w:rsid w:val="00A634D9"/>
    <w:rPr>
      <w:sz w:val="16"/>
      <w:szCs w:val="16"/>
    </w:rPr>
  </w:style>
  <w:style w:type="character" w:customStyle="1" w:styleId="CommentTextChar">
    <w:name w:val="Comment Text Char"/>
    <w:basedOn w:val="DefaultParagraphFont"/>
    <w:qFormat/>
    <w:rsid w:val="00A634D9"/>
    <w:rPr>
      <w:sz w:val="20"/>
      <w:szCs w:val="20"/>
    </w:rPr>
  </w:style>
  <w:style w:type="character" w:customStyle="1" w:styleId="CommentSubjectChar">
    <w:name w:val="Comment Subject Char"/>
    <w:basedOn w:val="CommentTextChar"/>
    <w:qFormat/>
    <w:rsid w:val="00A634D9"/>
    <w:rPr>
      <w:b/>
      <w:bCs/>
      <w:sz w:val="20"/>
      <w:szCs w:val="20"/>
    </w:rPr>
  </w:style>
  <w:style w:type="character" w:customStyle="1" w:styleId="BalloonTextChar">
    <w:name w:val="Balloon Text Char"/>
    <w:basedOn w:val="DefaultParagraphFont"/>
    <w:qFormat/>
    <w:rsid w:val="00A634D9"/>
    <w:rPr>
      <w:rFonts w:ascii="Segoe UI" w:hAnsi="Segoe UI" w:cs="Segoe UI"/>
      <w:sz w:val="18"/>
      <w:szCs w:val="18"/>
    </w:rPr>
  </w:style>
  <w:style w:type="paragraph" w:customStyle="1" w:styleId="Heading">
    <w:name w:val="Heading"/>
    <w:basedOn w:val="Normal"/>
    <w:next w:val="TextBody"/>
    <w:qFormat/>
    <w:rsid w:val="00A634D9"/>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A634D9"/>
    <w:pPr>
      <w:spacing w:after="140" w:line="288" w:lineRule="auto"/>
    </w:pPr>
  </w:style>
  <w:style w:type="paragraph" w:styleId="List">
    <w:name w:val="List"/>
    <w:basedOn w:val="TextBody"/>
    <w:rsid w:val="00A634D9"/>
  </w:style>
  <w:style w:type="paragraph" w:styleId="Caption">
    <w:name w:val="caption"/>
    <w:basedOn w:val="Normal"/>
    <w:qFormat/>
    <w:rsid w:val="00A634D9"/>
    <w:pPr>
      <w:suppressLineNumbers/>
      <w:spacing w:before="120" w:after="120"/>
    </w:pPr>
    <w:rPr>
      <w:i/>
      <w:iCs/>
      <w:sz w:val="24"/>
      <w:szCs w:val="24"/>
    </w:rPr>
  </w:style>
  <w:style w:type="paragraph" w:customStyle="1" w:styleId="Index">
    <w:name w:val="Index"/>
    <w:basedOn w:val="Normal"/>
    <w:qFormat/>
    <w:rsid w:val="00A634D9"/>
    <w:pPr>
      <w:suppressLineNumbers/>
    </w:pPr>
  </w:style>
  <w:style w:type="paragraph" w:styleId="Header">
    <w:name w:val="header"/>
    <w:basedOn w:val="Normal"/>
    <w:rsid w:val="00A634D9"/>
    <w:pPr>
      <w:tabs>
        <w:tab w:val="center" w:pos="4680"/>
        <w:tab w:val="right" w:pos="9360"/>
      </w:tabs>
      <w:spacing w:after="0" w:line="240" w:lineRule="auto"/>
    </w:pPr>
  </w:style>
  <w:style w:type="paragraph" w:styleId="Footer">
    <w:name w:val="footer"/>
    <w:basedOn w:val="Normal"/>
    <w:rsid w:val="00A634D9"/>
    <w:pPr>
      <w:tabs>
        <w:tab w:val="center" w:pos="4680"/>
        <w:tab w:val="right" w:pos="9360"/>
      </w:tabs>
      <w:spacing w:after="0" w:line="240" w:lineRule="auto"/>
    </w:pPr>
  </w:style>
  <w:style w:type="paragraph" w:styleId="CommentText">
    <w:name w:val="annotation text"/>
    <w:basedOn w:val="Normal"/>
    <w:qFormat/>
    <w:rsid w:val="00A634D9"/>
    <w:pPr>
      <w:spacing w:line="240" w:lineRule="auto"/>
    </w:pPr>
    <w:rPr>
      <w:sz w:val="20"/>
      <w:szCs w:val="20"/>
    </w:rPr>
  </w:style>
  <w:style w:type="paragraph" w:styleId="CommentSubject">
    <w:name w:val="annotation subject"/>
    <w:basedOn w:val="CommentText"/>
    <w:qFormat/>
    <w:rsid w:val="00A634D9"/>
    <w:rPr>
      <w:b/>
      <w:bCs/>
    </w:rPr>
  </w:style>
  <w:style w:type="paragraph" w:styleId="BalloonText">
    <w:name w:val="Balloon Text"/>
    <w:basedOn w:val="Normal"/>
    <w:qFormat/>
    <w:rsid w:val="00A634D9"/>
    <w:pPr>
      <w:spacing w:after="0" w:line="240" w:lineRule="auto"/>
    </w:pPr>
    <w:rPr>
      <w:rFonts w:ascii="Segoe UI" w:hAnsi="Segoe UI" w:cs="Segoe UI"/>
      <w:sz w:val="18"/>
      <w:szCs w:val="18"/>
    </w:rPr>
  </w:style>
  <w:style w:type="paragraph" w:styleId="ListParagraph">
    <w:name w:val="List Paragraph"/>
    <w:basedOn w:val="Normal"/>
    <w:qFormat/>
    <w:rsid w:val="00A634D9"/>
    <w:pPr>
      <w:ind w:left="720"/>
      <w:contextualSpacing/>
    </w:pPr>
  </w:style>
  <w:style w:type="paragraph" w:customStyle="1" w:styleId="TableContents">
    <w:name w:val="Table Contents"/>
    <w:basedOn w:val="Normal"/>
    <w:qFormat/>
    <w:rsid w:val="00A634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95</cp:revision>
  <dcterms:created xsi:type="dcterms:W3CDTF">2021-08-16T14:03:00Z</dcterms:created>
  <dcterms:modified xsi:type="dcterms:W3CDTF">2025-02-17T09:53:00Z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