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666" w:rsidRDefault="00887C03">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Ревизорски извјештај</w:t>
      </w:r>
    </w:p>
    <w:tbl>
      <w:tblPr>
        <w:tblW w:w="137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090"/>
        <w:gridCol w:w="5615"/>
      </w:tblGrid>
      <w:tr w:rsidR="005A6666">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b/>
                <w:bCs/>
                <w:color w:val="000000"/>
                <w:sz w:val="20"/>
                <w:szCs w:val="20"/>
              </w:rPr>
              <w:t>Назив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Ревизија послова у вези евиденције о личним стањима грађана у Одјељењу за општу управу </w:t>
            </w:r>
          </w:p>
        </w:tc>
      </w:tr>
      <w:tr w:rsidR="005A6666">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Временски период обухваћен ревизијом:</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E1346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lang w:val="sr-Cyrl-BA"/>
              </w:rPr>
              <w:t>2</w:t>
            </w:r>
            <w:r>
              <w:rPr>
                <w:rFonts w:ascii="Times New Roman" w:eastAsia="Times New Roman" w:hAnsi="Times New Roman" w:cs="Times New Roman"/>
                <w:color w:val="000000"/>
                <w:sz w:val="20"/>
                <w:szCs w:val="20"/>
              </w:rPr>
              <w:t xml:space="preserve">/09/2025 - </w:t>
            </w:r>
            <w:r>
              <w:rPr>
                <w:rFonts w:ascii="Times New Roman" w:eastAsia="Times New Roman" w:hAnsi="Times New Roman" w:cs="Times New Roman"/>
                <w:color w:val="000000"/>
                <w:sz w:val="20"/>
                <w:szCs w:val="20"/>
                <w:lang w:val="sr-Cyrl-BA"/>
              </w:rPr>
              <w:t>25</w:t>
            </w:r>
            <w:r w:rsidR="00887C03">
              <w:rPr>
                <w:rFonts w:ascii="Times New Roman" w:eastAsia="Times New Roman" w:hAnsi="Times New Roman" w:cs="Times New Roman"/>
                <w:color w:val="000000"/>
                <w:sz w:val="20"/>
                <w:szCs w:val="20"/>
              </w:rPr>
              <w:t>/09/2025</w:t>
            </w:r>
          </w:p>
        </w:tc>
      </w:tr>
      <w:tr w:rsidR="005A6666">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hAnsi="Times New Roman" w:cs="Times New Roman"/>
                <w:b/>
                <w:bCs/>
                <w:sz w:val="20"/>
                <w:szCs w:val="20"/>
              </w:rPr>
              <w:t>Број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rPr>
                <w:rFonts w:ascii="Times New Roman" w:hAnsi="Times New Roman" w:cs="Times New Roman"/>
                <w:sz w:val="20"/>
                <w:szCs w:val="20"/>
              </w:rPr>
            </w:pPr>
            <w:r>
              <w:rPr>
                <w:rFonts w:ascii="Times New Roman" w:hAnsi="Times New Roman" w:cs="Times New Roman"/>
                <w:sz w:val="20"/>
                <w:szCs w:val="20"/>
              </w:rPr>
              <w:t>13-014-264/25</w:t>
            </w:r>
          </w:p>
        </w:tc>
      </w:tr>
      <w:tr w:rsidR="005A6666">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b/>
                <w:bCs/>
                <w:color w:val="000000"/>
                <w:sz w:val="20"/>
                <w:szCs w:val="20"/>
              </w:rPr>
              <w:t>Назив ревидираног субјекта/oрганизационе јединице укључене у ревидирани процес:</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09368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Одјељење за </w:t>
            </w:r>
            <w:r w:rsidR="00887C03">
              <w:rPr>
                <w:rFonts w:ascii="Times New Roman" w:eastAsia="Times New Roman" w:hAnsi="Times New Roman" w:cs="Times New Roman"/>
                <w:color w:val="000000"/>
                <w:sz w:val="20"/>
                <w:szCs w:val="20"/>
              </w:rPr>
              <w:t>општу управу</w:t>
            </w:r>
          </w:p>
        </w:tc>
      </w:tr>
      <w:tr w:rsidR="005A6666">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Вођа ревизорског тима: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tabs>
                <w:tab w:val="left" w:pos="300"/>
                <w:tab w:val="center" w:pos="269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tc>
      </w:tr>
      <w:tr w:rsidR="005A6666">
        <w:trPr>
          <w:trHeight w:val="90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Чланови ревизорског тима: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A6666">
        <w:trPr>
          <w:trHeight w:val="312"/>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ИЗВРШНИ РЕЗИМЕ</w:t>
            </w:r>
          </w:p>
        </w:tc>
      </w:tr>
      <w:tr w:rsidR="005A6666">
        <w:trPr>
          <w:trHeight w:val="611"/>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pStyle w:val="CommentText"/>
            </w:pPr>
            <w:r>
              <w:rPr>
                <w:rFonts w:ascii="Times New Roman" w:hAnsi="Times New Roman" w:cs="Times New Roman"/>
                <w:b/>
                <w:bCs/>
              </w:rPr>
              <w:t xml:space="preserve">Слободан текст </w:t>
            </w:r>
            <w:r>
              <w:rPr>
                <w:rFonts w:ascii="Times New Roman" w:hAnsi="Times New Roman" w:cs="Times New Roman"/>
              </w:rPr>
              <w:t xml:space="preserve">(навести  кратак опис циљева и обима ревизије, најзначајнијих </w:t>
            </w:r>
            <w:r w:rsidR="00E61544">
              <w:rPr>
                <w:rFonts w:ascii="Times New Roman" w:hAnsi="Times New Roman" w:cs="Times New Roman"/>
              </w:rPr>
              <w:t xml:space="preserve">налаза ревизије и </w:t>
            </w:r>
            <w:r w:rsidR="00E61544">
              <w:rPr>
                <w:rFonts w:ascii="Times New Roman" w:hAnsi="Times New Roman" w:cs="Times New Roman"/>
                <w:lang w:val="sr-Cyrl-BA"/>
              </w:rPr>
              <w:t>њ</w:t>
            </w:r>
            <w:r>
              <w:rPr>
                <w:rFonts w:ascii="Times New Roman" w:hAnsi="Times New Roman" w:cs="Times New Roman"/>
              </w:rPr>
              <w:t>има везаних ризика)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color w:val="000000"/>
                <w:sz w:val="20"/>
                <w:szCs w:val="20"/>
              </w:rPr>
              <w:t xml:space="preserve"> Унутар Одјељења за општу управу свакодневно се издају изводи из матичних књига и врше нови уписи, а воде се и управни поступци који се односе на промјене, исправке или накнадне уписе, а циљ ове интерне ревизије је да се испита да ли се управни поступак води на основу одговарајуће документације и у прописаним роковима. </w:t>
            </w:r>
          </w:p>
        </w:tc>
      </w:tr>
      <w:tr w:rsidR="005A6666">
        <w:trPr>
          <w:trHeight w:val="288"/>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УВОД </w:t>
            </w:r>
          </w:p>
        </w:tc>
      </w:tr>
      <w:tr w:rsidR="005A6666">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pStyle w:val="ListParagraph"/>
              <w:numPr>
                <w:ilvl w:val="1"/>
                <w:numId w:val="1"/>
              </w:numPr>
              <w:spacing w:after="0" w:line="240" w:lineRule="auto"/>
            </w:pPr>
            <w:r>
              <w:rPr>
                <w:rFonts w:ascii="Times New Roman" w:eastAsia="Times New Roman" w:hAnsi="Times New Roman" w:cs="Times New Roman"/>
                <w:b/>
                <w:bCs/>
                <w:color w:val="000000"/>
                <w:sz w:val="20"/>
                <w:szCs w:val="20"/>
              </w:rPr>
              <w:t>Основ за ревизију:</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pPr>
              <w:spacing w:after="0" w:line="240" w:lineRule="auto"/>
              <w:rPr>
                <w:rFonts w:ascii="Times New Roman" w:eastAsia="Times New Roman" w:hAnsi="Times New Roman" w:cs="Times New Roman"/>
                <w:color w:val="000000"/>
                <w:sz w:val="20"/>
                <w:szCs w:val="20"/>
              </w:rPr>
            </w:pPr>
          </w:p>
        </w:tc>
      </w:tr>
      <w:tr w:rsidR="005A6666">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pStyle w:val="ListParagraph"/>
              <w:numPr>
                <w:ilvl w:val="1"/>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Предмет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pPr>
              <w:spacing w:after="0" w:line="240" w:lineRule="auto"/>
              <w:rPr>
                <w:rFonts w:ascii="Times New Roman" w:eastAsia="Times New Roman" w:hAnsi="Times New Roman" w:cs="Times New Roman"/>
                <w:color w:val="000000"/>
                <w:sz w:val="20"/>
                <w:szCs w:val="20"/>
              </w:rPr>
            </w:pPr>
          </w:p>
        </w:tc>
      </w:tr>
      <w:tr w:rsidR="005A6666">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b/>
                <w:bCs/>
                <w:color w:val="000000"/>
                <w:sz w:val="20"/>
                <w:szCs w:val="20"/>
              </w:rPr>
              <w:t xml:space="preserve">1.3. Циљеви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Осигурати да су предмети вођења евиденција о личним стањима грађана ријешени на основу одговарајуће документације.</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Осигурати да је поступање службеника у законским роковима приликом рјешавања предмета о личним стањима грађана.</w:t>
            </w:r>
          </w:p>
        </w:tc>
      </w:tr>
      <w:tr w:rsidR="005A6666">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5A6666" w:rsidRDefault="00887C03">
            <w:pPr>
              <w:spacing w:after="0" w:line="240" w:lineRule="auto"/>
            </w:pPr>
            <w:r>
              <w:rPr>
                <w:rFonts w:ascii="Times New Roman" w:eastAsia="Times New Roman" w:hAnsi="Times New Roman" w:cs="Times New Roman"/>
                <w:b/>
                <w:bCs/>
                <w:color w:val="000000"/>
                <w:sz w:val="20"/>
                <w:szCs w:val="20"/>
              </w:rPr>
              <w:t xml:space="preserve">1.4. Обим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Закон о матичним књигама („Службени гласник Републике Српске“, број 111/09, 43/13 и 66/18),</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Закон о личном имену („Службени гласник Републике Српске“, број 82/19), </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Закон о држављанству Републике Српске („Службени </w:t>
            </w:r>
            <w:r>
              <w:rPr>
                <w:rFonts w:ascii="Times New Roman" w:eastAsia="Times New Roman" w:hAnsi="Times New Roman" w:cs="Times New Roman"/>
                <w:color w:val="000000"/>
                <w:sz w:val="20"/>
                <w:szCs w:val="20"/>
              </w:rPr>
              <w:lastRenderedPageBreak/>
              <w:t>гласник Републике Српске“, број 59/14),</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израђени извјештаји о личним стањима грађана у 2025. години, </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- 47 предмета о личним стањима грађана из 2025. године </w:t>
            </w:r>
          </w:p>
        </w:tc>
      </w:tr>
      <w:tr w:rsidR="005A6666">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b/>
                <w:bCs/>
                <w:color w:val="000000"/>
                <w:sz w:val="20"/>
                <w:szCs w:val="20"/>
              </w:rPr>
              <w:lastRenderedPageBreak/>
              <w:t>1.5. Полазне информације о ревидираном подручју</w:t>
            </w:r>
            <w:r>
              <w:rPr>
                <w:rFonts w:ascii="Times New Roman" w:eastAsia="Times New Roman" w:hAnsi="Times New Roman" w:cs="Times New Roman"/>
                <w:color w:val="000000"/>
                <w:sz w:val="20"/>
                <w:szCs w:val="20"/>
              </w:rPr>
              <w:t xml:space="preserve">: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color w:val="000000"/>
                <w:sz w:val="20"/>
                <w:szCs w:val="20"/>
              </w:rPr>
              <w:t> У складу са важећим прописима којима је регулисана област личних стања грађана у Републици Српској и Босни и Херцеговини, у Одјељењу за општу управу воде се матичне евиденције грађана у 19 мјесних канцеларија.</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узорку Мјесне канцеларије Прњавор, чије матично подручје обухвата највећи број насељених мјеста (Прњавор, Коњуховци, Ратковац, Околица, Бабановци, Насеобина Бабановци, Маћино Брдо, Караћ, Долине, Доњи Гаљиповци, Горњи Гаљиповци, Гаљиповци и Мравица) за првих осам мјесеци 2025. године евидентирана су следећа лична стања грађана:</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извршено уписа у матичне књиге - 201,</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издато извода из матичне књиге рођених - 7862,</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издато извода из матичне књиге вјенчаних – 1591,</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издато извода из матичне књиге умрлих – 1460,</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издато увјерења из књиге држављана – 3035,</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издато осталих увјерења – 1878,</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извршено прибиљешки у матичним књигама – 682,</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сачињено записника – 109,</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сачињено и достављено извјештаја мјесним канцеларијама – 803,</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сачињено смртовница – 74,</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обрађено захтјева у процесу издавања личних докумената – 2241.</w:t>
            </w:r>
          </w:p>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 поступцима накнадног уписа у матичне књиге рођених са констатацијом чињенице држављанства БиХ, РС рјешење и комплетна документација се, у складу са законом, доставља Министарству цивилних послова БиХ које врши контролу испуњености услова. Такође, у поступцима промјене ентитетског држављанства и стицања држављанства БиХ, РС предмете рјешава Министарство управе и локалне самоуправе РС, а захтјев и приложена документација се само прослијеђује министарству путем градске управе.   </w:t>
            </w:r>
          </w:p>
        </w:tc>
      </w:tr>
      <w:tr w:rsidR="005A6666">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pStyle w:val="CommentText"/>
            </w:pPr>
            <w:r>
              <w:rPr>
                <w:rFonts w:ascii="Times New Roman" w:eastAsia="Times New Roman" w:hAnsi="Times New Roman" w:cs="Times New Roman"/>
                <w:b/>
                <w:bCs/>
                <w:color w:val="000000"/>
              </w:rPr>
              <w:lastRenderedPageBreak/>
              <w:t>1.6. Позитивни налази</w:t>
            </w:r>
            <w:r>
              <w:rPr>
                <w:rFonts w:ascii="Times New Roman" w:eastAsia="Times New Roman" w:hAnsi="Times New Roman" w:cs="Times New Roman"/>
                <w:color w:val="000000"/>
              </w:rPr>
              <w:t>:</w:t>
            </w:r>
          </w:p>
          <w:p w:rsidR="005A6666" w:rsidRDefault="005A6666">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color w:val="000000"/>
                <w:sz w:val="20"/>
                <w:szCs w:val="20"/>
              </w:rPr>
              <w:t> Предмети управног поступка се рјешавају тек након потпуног комплетирања потребне документације за доношење рјешења иако то повремено значи пролонгирање рјешавања предмета.</w:t>
            </w:r>
          </w:p>
        </w:tc>
      </w:tr>
      <w:tr w:rsidR="005A6666">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b/>
                <w:bCs/>
                <w:color w:val="000000"/>
                <w:sz w:val="20"/>
                <w:szCs w:val="20"/>
              </w:rPr>
              <w:t xml:space="preserve">1.7. Одговорности: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pPr>
              <w:spacing w:after="0" w:line="240" w:lineRule="auto"/>
              <w:rPr>
                <w:rFonts w:ascii="Times New Roman" w:eastAsia="Times New Roman" w:hAnsi="Times New Roman" w:cs="Times New Roman"/>
                <w:color w:val="000000"/>
                <w:sz w:val="20"/>
                <w:szCs w:val="20"/>
              </w:rPr>
            </w:pPr>
          </w:p>
        </w:tc>
      </w:tr>
      <w:tr w:rsidR="005A6666">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b/>
                <w:bCs/>
                <w:color w:val="000000"/>
                <w:sz w:val="20"/>
                <w:szCs w:val="20"/>
              </w:rPr>
              <w:t xml:space="preserve">1.8. Ограничења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pPr>
              <w:spacing w:after="0" w:line="240" w:lineRule="auto"/>
              <w:rPr>
                <w:rFonts w:ascii="Times New Roman" w:eastAsia="Times New Roman" w:hAnsi="Times New Roman" w:cs="Times New Roman"/>
                <w:color w:val="000000"/>
                <w:sz w:val="20"/>
                <w:szCs w:val="20"/>
              </w:rPr>
            </w:pPr>
          </w:p>
        </w:tc>
      </w:tr>
      <w:tr w:rsidR="005A6666">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pPr>
              <w:pStyle w:val="CommentText"/>
              <w:rPr>
                <w:rFonts w:ascii="Times New Roman" w:eastAsia="Times New Roman" w:hAnsi="Times New Roman" w:cs="Times New Roman"/>
                <w:b/>
                <w:bCs/>
                <w:color w:val="00000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pPr>
              <w:spacing w:after="0" w:line="240" w:lineRule="auto"/>
              <w:rPr>
                <w:rFonts w:ascii="Times New Roman" w:eastAsia="Times New Roman" w:hAnsi="Times New Roman" w:cs="Times New Roman"/>
                <w:color w:val="000000"/>
                <w:sz w:val="20"/>
                <w:szCs w:val="20"/>
              </w:rPr>
            </w:pPr>
          </w:p>
        </w:tc>
      </w:tr>
      <w:tr w:rsidR="005A6666">
        <w:trPr>
          <w:trHeight w:val="300"/>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5A6666" w:rsidRDefault="00887C03">
            <w:pPr>
              <w:spacing w:after="0" w:line="240" w:lineRule="auto"/>
            </w:pPr>
            <w:r>
              <w:rPr>
                <w:rFonts w:ascii="Times New Roman" w:eastAsia="Times New Roman" w:hAnsi="Times New Roman" w:cs="Times New Roman"/>
                <w:color w:val="000000"/>
                <w:sz w:val="20"/>
                <w:szCs w:val="20"/>
              </w:rPr>
              <w:t>2. НАЛАЗИ, ЗАКЉУЧЦИ И ПРЕПОРУКЕ</w:t>
            </w:r>
          </w:p>
        </w:tc>
      </w:tr>
      <w:tr w:rsidR="005A6666">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b/>
                <w:bCs/>
                <w:color w:val="000000"/>
                <w:sz w:val="20"/>
                <w:szCs w:val="20"/>
              </w:rPr>
              <w:t xml:space="preserve">Претходни ревизијски преглед </w:t>
            </w:r>
            <w:r>
              <w:rPr>
                <w:rFonts w:ascii="Times New Roman" w:eastAsia="Times New Roman" w:hAnsi="Times New Roman" w:cs="Times New Roman"/>
                <w:color w:val="000000"/>
                <w:sz w:val="20"/>
                <w:szCs w:val="20"/>
              </w:rPr>
              <w:t>(спровођење препорука из претходне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pPr>
              <w:spacing w:after="0" w:line="240" w:lineRule="auto"/>
              <w:jc w:val="both"/>
              <w:rPr>
                <w:rFonts w:ascii="Times New Roman" w:eastAsia="Times New Roman" w:hAnsi="Times New Roman" w:cs="Times New Roman"/>
                <w:color w:val="000000"/>
                <w:sz w:val="24"/>
                <w:szCs w:val="24"/>
              </w:rPr>
            </w:pPr>
          </w:p>
        </w:tc>
      </w:tr>
      <w:tr w:rsidR="005A6666">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су предмети вођења евиденција о личним стањима грађана ријешени на основу одговарајуће документације.</w:t>
            </w:r>
          </w:p>
        </w:tc>
      </w:tr>
      <w:tr w:rsidR="005A6666">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 Приликом рјешавања захтјева за исправке грешака у матичним књигама строго се пази да се рјешење донесе на основу одговарајуће документације из које се недвосмислено доказује да се ради о погрешном упису. Унутар сваког рјешења наведени су сви појединачни документи на основу којег је рјешење донесено, а без тражене документације рјешење се не може донијети. Приликом рјешавања захтјева за промјену личног имена, траже се информације из разних институција као што су полицијска станица, центар за социјални рад и пореска управа како би се провјерило да ли је та особа под тренутним именом била осуђивана, да ли је расписана међународна потјерница за њом, да ли постоје особе под тим идентитетом које имају обавезу нечијег издржавања или постоје  неизмирени порези под тим именом. У ревидираном узорку од 47 реализованих предмета личних стања грађана из 2025. године утврђено је да су рјешења донесена тек када је у потпуности комплетирана тражена документација. У истом узорку била су и два рјешења о одбијању накнадног уписа чињенице рођења ради стицања држављанства по поријеклу јер је Министарство цивилних послова БиХ сматрало да исти не испуњавају услове пошто се ради о грађанима који су навршили преко 23 године, а нису до тада тражили накнадни упис у матичне књиге (наведено се односи на дјецу рођену након 01.01.1998. године).  </w:t>
            </w:r>
          </w:p>
        </w:tc>
      </w:tr>
      <w:tr w:rsidR="005A6666">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FA3D68">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FA3D68">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tc>
      </w:tr>
      <w:tr w:rsidR="005A6666">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је поступање службеника у законским роковима приликом рјешавања предмета о личним стањима грађана.</w:t>
            </w:r>
          </w:p>
        </w:tc>
      </w:tr>
      <w:tr w:rsidR="005A6666">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 У свим поступцима личних стања грађана потребно је у најкраћем року поступити по захтјевима из разлога што од благовремено извршених уписа, издатих извода и увјерења најчешће зависи остваривање других права и дужности грађана, као и у управним поступцима који се односе на промјене, исправке или накнадне уписе, односно доношење рјешења у тим поступцима. Врло често за рјешавање предмета управног поступка неопходна је документација о личним стањима грађана која се прибавља у другим државама, зависно од тога гдје су уписане чињенице рођења, вјенчања, смрти и држављанства, те само одјељење не може утицати на то када ће се потребна документација комплетирати већ само може пролонгирати рјешевање предмета до момента док се не утврди да је захтјев потпун. Постоји неколико рокова за рјешавање личних стања грађана зависно од врсте поступка који се води (од 5, 7, 10 или 30 дана потпуног захтјева), а у ревидираном узорку од 47 ријешених предмета личних стања грађана из 2025. године, у готово свим случајевима предмет је ријешен у дефинисаном року потпуног захтјева.</w:t>
            </w:r>
          </w:p>
        </w:tc>
      </w:tr>
      <w:tr w:rsidR="005A6666">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b/>
                <w:bCs/>
                <w:color w:val="000000"/>
                <w:sz w:val="20"/>
                <w:szCs w:val="20"/>
              </w:rPr>
              <w:t xml:space="preserve">Препоруке </w:t>
            </w:r>
            <w:r w:rsidR="00FA3D68">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FA3D68">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tc>
      </w:tr>
      <w:tr w:rsidR="005A6666">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pPr>
            <w:r>
              <w:rPr>
                <w:rFonts w:ascii="Times New Roman" w:eastAsia="Times New Roman" w:hAnsi="Times New Roman" w:cs="Times New Roman"/>
                <w:b/>
                <w:bCs/>
                <w:color w:val="000000"/>
                <w:sz w:val="20"/>
                <w:szCs w:val="20"/>
              </w:rPr>
              <w:t>Прихваћене: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tc>
      </w:tr>
      <w:tr w:rsidR="005A6666">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887C0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Коментар руководства: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tc>
      </w:tr>
      <w:tr w:rsidR="005A6666">
        <w:trPr>
          <w:trHeight w:val="324"/>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5A6666" w:rsidRDefault="00887C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ПРИЛОЗИ </w:t>
            </w:r>
          </w:p>
        </w:tc>
      </w:tr>
      <w:tr w:rsidR="005A6666">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pPr>
              <w:spacing w:after="0" w:line="240" w:lineRule="auto"/>
              <w:rPr>
                <w:rFonts w:ascii="Times New Roman" w:eastAsia="Times New Roman" w:hAnsi="Times New Roman" w:cs="Times New Roman"/>
                <w:color w:val="000000"/>
                <w:sz w:val="24"/>
                <w:szCs w:val="24"/>
              </w:rPr>
            </w:pPr>
          </w:p>
        </w:tc>
      </w:tr>
      <w:tr w:rsidR="005A6666" w:rsidTr="002A4E0C">
        <w:trPr>
          <w:trHeight w:val="35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A6666" w:rsidRDefault="005A6666">
            <w:pPr>
              <w:spacing w:after="0" w:line="240" w:lineRule="auto"/>
              <w:rPr>
                <w:rFonts w:ascii="Times New Roman" w:eastAsia="Times New Roman" w:hAnsi="Times New Roman" w:cs="Times New Roman"/>
                <w:color w:val="000000"/>
                <w:sz w:val="24"/>
                <w:szCs w:val="24"/>
              </w:rPr>
            </w:pPr>
          </w:p>
          <w:p w:rsidR="002A4E0C" w:rsidRDefault="002A4E0C">
            <w:pPr>
              <w:spacing w:after="0" w:line="240" w:lineRule="auto"/>
              <w:rPr>
                <w:rFonts w:ascii="Times New Roman" w:eastAsia="Times New Roman" w:hAnsi="Times New Roman" w:cs="Times New Roman"/>
                <w:color w:val="000000"/>
                <w:sz w:val="24"/>
                <w:szCs w:val="24"/>
              </w:rPr>
            </w:pPr>
          </w:p>
          <w:p w:rsidR="002A4E0C" w:rsidRDefault="002A4E0C">
            <w:pPr>
              <w:spacing w:after="0" w:line="240" w:lineRule="auto"/>
              <w:rPr>
                <w:rFonts w:ascii="Times New Roman" w:eastAsia="Times New Roman" w:hAnsi="Times New Roman" w:cs="Times New Roman"/>
                <w:color w:val="000000"/>
                <w:sz w:val="24"/>
                <w:szCs w:val="24"/>
              </w:rPr>
            </w:pPr>
          </w:p>
        </w:tc>
      </w:tr>
    </w:tbl>
    <w:p w:rsidR="005A6666" w:rsidRDefault="005A6666"/>
    <w:p w:rsidR="005A6666" w:rsidRDefault="005A6666"/>
    <w:tbl>
      <w:tblPr>
        <w:tblW w:w="13068" w:type="dxa"/>
        <w:tblLook w:val="0000"/>
      </w:tblPr>
      <w:tblGrid>
        <w:gridCol w:w="2157"/>
        <w:gridCol w:w="2158"/>
        <w:gridCol w:w="2158"/>
        <w:gridCol w:w="119"/>
        <w:gridCol w:w="2039"/>
        <w:gridCol w:w="2157"/>
        <w:gridCol w:w="2280"/>
      </w:tblGrid>
      <w:tr w:rsidR="005A6666">
        <w:tc>
          <w:tcPr>
            <w:tcW w:w="2157" w:type="dxa"/>
            <w:shd w:val="clear" w:color="auto" w:fill="auto"/>
          </w:tcPr>
          <w:p w:rsidR="005A6666" w:rsidRDefault="005A6666">
            <w:pPr>
              <w:spacing w:after="0" w:line="240" w:lineRule="auto"/>
              <w:jc w:val="center"/>
            </w:pPr>
          </w:p>
        </w:tc>
        <w:tc>
          <w:tcPr>
            <w:tcW w:w="2158" w:type="dxa"/>
            <w:tcBorders>
              <w:bottom w:val="single" w:sz="4" w:space="0" w:color="00000A"/>
            </w:tcBorders>
            <w:shd w:val="clear" w:color="auto" w:fill="auto"/>
          </w:tcPr>
          <w:p w:rsidR="005A6666" w:rsidRDefault="005A6666">
            <w:pPr>
              <w:spacing w:after="0" w:line="240" w:lineRule="auto"/>
              <w:jc w:val="center"/>
            </w:pPr>
          </w:p>
        </w:tc>
        <w:tc>
          <w:tcPr>
            <w:tcW w:w="2158" w:type="dxa"/>
            <w:shd w:val="clear" w:color="auto" w:fill="auto"/>
          </w:tcPr>
          <w:p w:rsidR="005A6666" w:rsidRDefault="005A6666">
            <w:pPr>
              <w:spacing w:after="0" w:line="240" w:lineRule="auto"/>
              <w:jc w:val="center"/>
            </w:pPr>
          </w:p>
        </w:tc>
        <w:tc>
          <w:tcPr>
            <w:tcW w:w="2158" w:type="dxa"/>
            <w:gridSpan w:val="2"/>
            <w:shd w:val="clear" w:color="auto" w:fill="auto"/>
          </w:tcPr>
          <w:p w:rsidR="005A6666" w:rsidRDefault="005A6666">
            <w:pPr>
              <w:spacing w:after="0" w:line="240" w:lineRule="auto"/>
              <w:jc w:val="center"/>
            </w:pPr>
          </w:p>
        </w:tc>
        <w:tc>
          <w:tcPr>
            <w:tcW w:w="2157" w:type="dxa"/>
            <w:tcBorders>
              <w:bottom w:val="single" w:sz="4" w:space="0" w:color="00000A"/>
            </w:tcBorders>
            <w:shd w:val="clear" w:color="auto" w:fill="auto"/>
          </w:tcPr>
          <w:p w:rsidR="005A6666" w:rsidRDefault="005A6666">
            <w:pPr>
              <w:spacing w:after="0" w:line="240" w:lineRule="auto"/>
              <w:jc w:val="center"/>
            </w:pPr>
          </w:p>
        </w:tc>
        <w:tc>
          <w:tcPr>
            <w:tcW w:w="2280" w:type="dxa"/>
            <w:shd w:val="clear" w:color="auto" w:fill="auto"/>
          </w:tcPr>
          <w:p w:rsidR="005A6666" w:rsidRDefault="005A6666">
            <w:pPr>
              <w:spacing w:after="0" w:line="240" w:lineRule="auto"/>
              <w:jc w:val="center"/>
            </w:pPr>
          </w:p>
        </w:tc>
      </w:tr>
      <w:tr w:rsidR="005A6666">
        <w:tc>
          <w:tcPr>
            <w:tcW w:w="6473" w:type="dxa"/>
            <w:gridSpan w:val="3"/>
            <w:shd w:val="clear" w:color="auto" w:fill="auto"/>
          </w:tcPr>
          <w:p w:rsidR="005A6666" w:rsidRPr="00313B8F" w:rsidRDefault="005A6666">
            <w:pPr>
              <w:spacing w:after="0" w:line="240" w:lineRule="auto"/>
              <w:jc w:val="center"/>
              <w:rPr>
                <w:rFonts w:ascii="Times New Roman" w:eastAsia="Times New Roman" w:hAnsi="Times New Roman" w:cs="Times New Roman"/>
                <w:color w:val="000000"/>
                <w:lang w:val="sr-Cyrl-BA"/>
              </w:rPr>
            </w:pPr>
          </w:p>
        </w:tc>
        <w:tc>
          <w:tcPr>
            <w:tcW w:w="6595" w:type="dxa"/>
            <w:gridSpan w:val="4"/>
            <w:shd w:val="clear" w:color="auto" w:fill="auto"/>
          </w:tcPr>
          <w:p w:rsidR="005A6666" w:rsidRPr="00313B8F" w:rsidRDefault="00313B8F">
            <w:pPr>
              <w:spacing w:after="0" w:line="240" w:lineRule="auto"/>
              <w:jc w:val="center"/>
              <w:rPr>
                <w:rFonts w:ascii="Times New Roman" w:eastAsia="Times New Roman" w:hAnsi="Times New Roman" w:cs="Times New Roman"/>
                <w:color w:val="000000"/>
                <w:lang w:val="sr-Cyrl-BA"/>
              </w:rPr>
            </w:pPr>
            <w:r>
              <w:rPr>
                <w:rFonts w:ascii="Times New Roman" w:eastAsia="Times New Roman" w:hAnsi="Times New Roman" w:cs="Times New Roman"/>
                <w:color w:val="000000"/>
                <w:lang w:val="sr-Cyrl-BA"/>
              </w:rPr>
              <w:t>Зоран Дебељак, интерни ревизор</w:t>
            </w:r>
          </w:p>
        </w:tc>
      </w:tr>
      <w:tr w:rsidR="005A6666">
        <w:trPr>
          <w:trHeight w:val="1383"/>
        </w:trPr>
        <w:tc>
          <w:tcPr>
            <w:tcW w:w="13068" w:type="dxa"/>
            <w:gridSpan w:val="7"/>
            <w:shd w:val="clear" w:color="auto" w:fill="auto"/>
          </w:tcPr>
          <w:p w:rsidR="005A6666" w:rsidRDefault="005A6666">
            <w:pPr>
              <w:spacing w:after="0" w:line="240" w:lineRule="auto"/>
            </w:pPr>
          </w:p>
        </w:tc>
      </w:tr>
      <w:tr w:rsidR="005A6666">
        <w:tc>
          <w:tcPr>
            <w:tcW w:w="6592" w:type="dxa"/>
            <w:gridSpan w:val="4"/>
            <w:shd w:val="clear" w:color="auto" w:fill="auto"/>
          </w:tcPr>
          <w:p w:rsidR="005A6666" w:rsidRDefault="00887C03">
            <w:pPr>
              <w:spacing w:after="0" w:line="240" w:lineRule="auto"/>
            </w:pPr>
            <w:r>
              <w:rPr>
                <w:rFonts w:ascii="Times New Roman" w:hAnsi="Times New Roman" w:cs="Times New Roman"/>
              </w:rPr>
              <w:t xml:space="preserve">Коначан ревизорски извјештај је достављен: </w:t>
            </w:r>
          </w:p>
        </w:tc>
        <w:tc>
          <w:tcPr>
            <w:tcW w:w="6476" w:type="dxa"/>
            <w:gridSpan w:val="3"/>
            <w:shd w:val="clear" w:color="auto" w:fill="auto"/>
          </w:tcPr>
          <w:p w:rsidR="005A6666" w:rsidRDefault="005A6666">
            <w:pPr>
              <w:spacing w:after="0" w:line="240" w:lineRule="auto"/>
            </w:pPr>
          </w:p>
        </w:tc>
      </w:tr>
      <w:tr w:rsidR="005A6666">
        <w:trPr>
          <w:trHeight w:val="960"/>
        </w:trPr>
        <w:tc>
          <w:tcPr>
            <w:tcW w:w="13068" w:type="dxa"/>
            <w:gridSpan w:val="7"/>
            <w:shd w:val="clear" w:color="auto" w:fill="auto"/>
          </w:tcPr>
          <w:p w:rsidR="005A6666" w:rsidRDefault="002A4E0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Одјељење за</w:t>
            </w:r>
            <w:r w:rsidR="00887C03">
              <w:rPr>
                <w:rFonts w:ascii="Times New Roman" w:eastAsia="Times New Roman" w:hAnsi="Times New Roman" w:cs="Times New Roman"/>
                <w:color w:val="000000"/>
              </w:rPr>
              <w:t xml:space="preserve"> општу управу</w:t>
            </w:r>
          </w:p>
          <w:p w:rsidR="005A6666" w:rsidRDefault="00887C03">
            <w:pPr>
              <w:spacing w:after="0" w:line="240" w:lineRule="auto"/>
              <w:rPr>
                <w:rFonts w:ascii="Times New Roman" w:hAnsi="Times New Roman" w:cs="Times New Roman"/>
              </w:rPr>
            </w:pPr>
            <w:r>
              <w:rPr>
                <w:rFonts w:ascii="Times New Roman" w:hAnsi="Times New Roman" w:cs="Times New Roman"/>
              </w:rPr>
              <w:t>Руководилац субјекта,</w:t>
            </w:r>
          </w:p>
          <w:p w:rsidR="005A6666" w:rsidRDefault="00887C03">
            <w:pPr>
              <w:spacing w:after="0" w:line="240" w:lineRule="auto"/>
              <w:rPr>
                <w:rFonts w:ascii="Times New Roman" w:hAnsi="Times New Roman" w:cs="Times New Roman"/>
              </w:rPr>
            </w:pPr>
            <w:r>
              <w:rPr>
                <w:rFonts w:ascii="Times New Roman" w:hAnsi="Times New Roman" w:cs="Times New Roman"/>
              </w:rPr>
              <w:t>а/а</w:t>
            </w:r>
          </w:p>
        </w:tc>
      </w:tr>
    </w:tbl>
    <w:p w:rsidR="005A6666" w:rsidRDefault="005A6666"/>
    <w:sectPr w:rsidR="005A6666" w:rsidSect="005A6666">
      <w:headerReference w:type="default" r:id="rId7"/>
      <w:pgSz w:w="15840" w:h="12240" w:orient="landscape"/>
      <w:pgMar w:top="1440" w:right="1440" w:bottom="1440" w:left="1440" w:header="709" w:footer="0"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141" w:rsidRDefault="00C45141" w:rsidP="005A6666">
      <w:pPr>
        <w:spacing w:after="0" w:line="240" w:lineRule="auto"/>
      </w:pPr>
      <w:r>
        <w:separator/>
      </w:r>
    </w:p>
  </w:endnote>
  <w:endnote w:type="continuationSeparator" w:id="1">
    <w:p w:rsidR="00C45141" w:rsidRDefault="00C45141" w:rsidP="005A66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1"/>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141" w:rsidRDefault="00C45141" w:rsidP="005A6666">
      <w:pPr>
        <w:spacing w:after="0" w:line="240" w:lineRule="auto"/>
      </w:pPr>
      <w:r>
        <w:separator/>
      </w:r>
    </w:p>
  </w:footnote>
  <w:footnote w:type="continuationSeparator" w:id="1">
    <w:p w:rsidR="00C45141" w:rsidRDefault="00C45141" w:rsidP="005A66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950" w:type="dxa"/>
      <w:tblBorders>
        <w:top w:val="single" w:sz="8" w:space="0" w:color="00000A"/>
        <w:left w:val="single" w:sz="8" w:space="0" w:color="00000A"/>
        <w:right w:val="single" w:sz="8" w:space="0" w:color="000001"/>
        <w:insideV w:val="single" w:sz="8" w:space="0" w:color="000001"/>
      </w:tblBorders>
      <w:tblCellMar>
        <w:left w:w="98" w:type="dxa"/>
      </w:tblCellMar>
      <w:tblLook w:val="0000"/>
    </w:tblPr>
    <w:tblGrid>
      <w:gridCol w:w="12950"/>
    </w:tblGrid>
    <w:tr w:rsidR="005A6666">
      <w:trPr>
        <w:trHeight w:val="576"/>
      </w:trPr>
      <w:tc>
        <w:tcPr>
          <w:tcW w:w="12950" w:type="dxa"/>
          <w:tcBorders>
            <w:top w:val="single" w:sz="8" w:space="0" w:color="00000A"/>
            <w:left w:val="single" w:sz="8" w:space="0" w:color="00000A"/>
            <w:right w:val="single" w:sz="8" w:space="0" w:color="000001"/>
          </w:tcBorders>
          <w:shd w:val="clear" w:color="auto" w:fill="D9E1F2"/>
          <w:tcMar>
            <w:left w:w="98" w:type="dxa"/>
          </w:tcMar>
        </w:tcPr>
        <w:p w:rsidR="005A6666" w:rsidRDefault="00887C03">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ЈИР - Град Прњавор</w:t>
          </w:r>
        </w:p>
      </w:tc>
    </w:tr>
    <w:tr w:rsidR="005A6666">
      <w:trPr>
        <w:trHeight w:val="432"/>
      </w:trPr>
      <w:tc>
        <w:tcPr>
          <w:tcW w:w="12950" w:type="dxa"/>
          <w:tcBorders>
            <w:left w:val="single" w:sz="8" w:space="0" w:color="00000A"/>
            <w:bottom w:val="single" w:sz="4" w:space="0" w:color="00000A"/>
            <w:right w:val="single" w:sz="8" w:space="0" w:color="000001"/>
          </w:tcBorders>
          <w:shd w:val="clear" w:color="auto" w:fill="FFFFFF"/>
          <w:tcMar>
            <w:left w:w="98" w:type="dxa"/>
          </w:tcMar>
        </w:tcPr>
        <w:p w:rsidR="005A6666" w:rsidRDefault="00887C03">
          <w:pPr>
            <w:tabs>
              <w:tab w:val="left" w:pos="352"/>
              <w:tab w:val="right" w:pos="12734"/>
            </w:tabs>
            <w:spacing w:after="0" w:line="240" w:lineRule="auto"/>
            <w:jc w:val="right"/>
          </w:pPr>
          <w:r>
            <w:rPr>
              <w:rFonts w:ascii="Times New Roman" w:eastAsia="Times New Roman" w:hAnsi="Times New Roman" w:cs="Times New Roman"/>
              <w:b/>
              <w:bCs/>
              <w:sz w:val="24"/>
              <w:szCs w:val="24"/>
            </w:rPr>
            <w:t xml:space="preserve">ОБРАЗАЦ 7 </w:t>
          </w:r>
        </w:p>
      </w:tc>
    </w:tr>
  </w:tbl>
  <w:p w:rsidR="005A6666" w:rsidRDefault="005A66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71C30"/>
    <w:multiLevelType w:val="multilevel"/>
    <w:tmpl w:val="30BE6FE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7F3510C"/>
    <w:multiLevelType w:val="multilevel"/>
    <w:tmpl w:val="2F40FA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6666"/>
    <w:rsid w:val="00093686"/>
    <w:rsid w:val="00205088"/>
    <w:rsid w:val="002A4E0C"/>
    <w:rsid w:val="00313B8F"/>
    <w:rsid w:val="005A6666"/>
    <w:rsid w:val="00887C03"/>
    <w:rsid w:val="00C45141"/>
    <w:rsid w:val="00E13465"/>
    <w:rsid w:val="00E61544"/>
    <w:rsid w:val="00FA3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66"/>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sid w:val="005A6666"/>
  </w:style>
  <w:style w:type="character" w:customStyle="1" w:styleId="FooterChar">
    <w:name w:val="Footer Char"/>
    <w:basedOn w:val="DefaultParagraphFont"/>
    <w:qFormat/>
    <w:rsid w:val="005A6666"/>
  </w:style>
  <w:style w:type="character" w:styleId="CommentReference">
    <w:name w:val="annotation reference"/>
    <w:basedOn w:val="DefaultParagraphFont"/>
    <w:qFormat/>
    <w:rsid w:val="005A6666"/>
    <w:rPr>
      <w:sz w:val="16"/>
      <w:szCs w:val="16"/>
    </w:rPr>
  </w:style>
  <w:style w:type="character" w:customStyle="1" w:styleId="CommentTextChar">
    <w:name w:val="Comment Text Char"/>
    <w:basedOn w:val="DefaultParagraphFont"/>
    <w:qFormat/>
    <w:rsid w:val="005A6666"/>
    <w:rPr>
      <w:sz w:val="20"/>
      <w:szCs w:val="20"/>
    </w:rPr>
  </w:style>
  <w:style w:type="character" w:customStyle="1" w:styleId="CommentSubjectChar">
    <w:name w:val="Comment Subject Char"/>
    <w:basedOn w:val="CommentTextChar"/>
    <w:qFormat/>
    <w:rsid w:val="005A6666"/>
    <w:rPr>
      <w:b/>
      <w:bCs/>
      <w:sz w:val="20"/>
      <w:szCs w:val="20"/>
    </w:rPr>
  </w:style>
  <w:style w:type="character" w:customStyle="1" w:styleId="BalloonTextChar">
    <w:name w:val="Balloon Text Char"/>
    <w:basedOn w:val="DefaultParagraphFont"/>
    <w:qFormat/>
    <w:rsid w:val="005A6666"/>
    <w:rPr>
      <w:rFonts w:ascii="Segoe UI" w:hAnsi="Segoe UI" w:cs="Segoe UI"/>
      <w:sz w:val="18"/>
      <w:szCs w:val="18"/>
    </w:rPr>
  </w:style>
  <w:style w:type="paragraph" w:customStyle="1" w:styleId="Heading">
    <w:name w:val="Heading"/>
    <w:basedOn w:val="Normal"/>
    <w:next w:val="TextBody"/>
    <w:qFormat/>
    <w:rsid w:val="005A6666"/>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5A6666"/>
    <w:pPr>
      <w:spacing w:after="140" w:line="288" w:lineRule="auto"/>
    </w:pPr>
  </w:style>
  <w:style w:type="paragraph" w:styleId="List">
    <w:name w:val="List"/>
    <w:basedOn w:val="TextBody"/>
    <w:rsid w:val="005A6666"/>
  </w:style>
  <w:style w:type="paragraph" w:styleId="Caption">
    <w:name w:val="caption"/>
    <w:basedOn w:val="Normal"/>
    <w:qFormat/>
    <w:rsid w:val="005A6666"/>
    <w:pPr>
      <w:suppressLineNumbers/>
      <w:spacing w:before="120" w:after="120"/>
    </w:pPr>
    <w:rPr>
      <w:i/>
      <w:iCs/>
      <w:sz w:val="24"/>
      <w:szCs w:val="24"/>
    </w:rPr>
  </w:style>
  <w:style w:type="paragraph" w:customStyle="1" w:styleId="Index">
    <w:name w:val="Index"/>
    <w:basedOn w:val="Normal"/>
    <w:qFormat/>
    <w:rsid w:val="005A6666"/>
    <w:pPr>
      <w:suppressLineNumbers/>
    </w:pPr>
  </w:style>
  <w:style w:type="paragraph" w:styleId="Header">
    <w:name w:val="header"/>
    <w:basedOn w:val="Normal"/>
    <w:rsid w:val="005A6666"/>
    <w:pPr>
      <w:tabs>
        <w:tab w:val="center" w:pos="4680"/>
        <w:tab w:val="right" w:pos="9360"/>
      </w:tabs>
      <w:spacing w:after="0" w:line="240" w:lineRule="auto"/>
    </w:pPr>
  </w:style>
  <w:style w:type="paragraph" w:styleId="Footer">
    <w:name w:val="footer"/>
    <w:basedOn w:val="Normal"/>
    <w:rsid w:val="005A6666"/>
    <w:pPr>
      <w:tabs>
        <w:tab w:val="center" w:pos="4680"/>
        <w:tab w:val="right" w:pos="9360"/>
      </w:tabs>
      <w:spacing w:after="0" w:line="240" w:lineRule="auto"/>
    </w:pPr>
  </w:style>
  <w:style w:type="paragraph" w:styleId="CommentText">
    <w:name w:val="annotation text"/>
    <w:basedOn w:val="Normal"/>
    <w:qFormat/>
    <w:rsid w:val="005A6666"/>
    <w:pPr>
      <w:spacing w:line="240" w:lineRule="auto"/>
    </w:pPr>
    <w:rPr>
      <w:sz w:val="20"/>
      <w:szCs w:val="20"/>
    </w:rPr>
  </w:style>
  <w:style w:type="paragraph" w:styleId="CommentSubject">
    <w:name w:val="annotation subject"/>
    <w:basedOn w:val="CommentText"/>
    <w:qFormat/>
    <w:rsid w:val="005A6666"/>
    <w:rPr>
      <w:b/>
      <w:bCs/>
    </w:rPr>
  </w:style>
  <w:style w:type="paragraph" w:styleId="BalloonText">
    <w:name w:val="Balloon Text"/>
    <w:basedOn w:val="Normal"/>
    <w:qFormat/>
    <w:rsid w:val="005A6666"/>
    <w:pPr>
      <w:spacing w:after="0" w:line="240" w:lineRule="auto"/>
    </w:pPr>
    <w:rPr>
      <w:rFonts w:ascii="Segoe UI" w:hAnsi="Segoe UI" w:cs="Segoe UI"/>
      <w:sz w:val="18"/>
      <w:szCs w:val="18"/>
    </w:rPr>
  </w:style>
  <w:style w:type="paragraph" w:styleId="ListParagraph">
    <w:name w:val="List Paragraph"/>
    <w:basedOn w:val="Normal"/>
    <w:qFormat/>
    <w:rsid w:val="005A6666"/>
    <w:pPr>
      <w:ind w:left="720"/>
      <w:contextualSpacing/>
    </w:pPr>
  </w:style>
  <w:style w:type="paragraph" w:customStyle="1" w:styleId="TableContents">
    <w:name w:val="Table Contents"/>
    <w:basedOn w:val="Normal"/>
    <w:qFormat/>
    <w:rsid w:val="005A666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5</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Bordanic</dc:creator>
  <dc:description/>
  <cp:lastModifiedBy>korisnik</cp:lastModifiedBy>
  <cp:revision>97</cp:revision>
  <dcterms:created xsi:type="dcterms:W3CDTF">2021-08-16T14:03:00Z</dcterms:created>
  <dcterms:modified xsi:type="dcterms:W3CDTF">2025-09-18T09:30:00Z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