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DB7" w:rsidRDefault="0038724F">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Ревизорски извјештај</w:t>
      </w:r>
    </w:p>
    <w:tbl>
      <w:tblPr>
        <w:tblW w:w="137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090"/>
        <w:gridCol w:w="5615"/>
      </w:tblGrid>
      <w:tr w:rsidR="00584DB7">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t>Назив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Ревизија комисијског одлучивања приликом додјеле средстава у Одјељењу за локални економски развој и друштвене дјелатности </w:t>
            </w:r>
          </w:p>
        </w:tc>
      </w:tr>
      <w:tr w:rsidR="00584DB7">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Временски период обухваћен ревизијом:</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D660B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w:t>
            </w:r>
            <w:r w:rsidR="0038724F">
              <w:rPr>
                <w:rFonts w:ascii="Times New Roman" w:eastAsia="Times New Roman" w:hAnsi="Times New Roman" w:cs="Times New Roman"/>
                <w:color w:val="000000"/>
                <w:sz w:val="20"/>
                <w:szCs w:val="20"/>
              </w:rPr>
              <w:t>/04/2024 - 30/04/2024</w:t>
            </w:r>
          </w:p>
        </w:tc>
      </w:tr>
      <w:tr w:rsidR="00584DB7">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hAnsi="Times New Roman" w:cs="Times New Roman"/>
                <w:b/>
                <w:bCs/>
                <w:sz w:val="20"/>
                <w:szCs w:val="20"/>
              </w:rPr>
              <w:t>Број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hAnsi="Times New Roman" w:cs="Times New Roman"/>
                <w:sz w:val="20"/>
                <w:szCs w:val="20"/>
              </w:rPr>
            </w:pPr>
            <w:r>
              <w:rPr>
                <w:rFonts w:ascii="Times New Roman" w:hAnsi="Times New Roman" w:cs="Times New Roman"/>
                <w:sz w:val="20"/>
                <w:szCs w:val="20"/>
              </w:rPr>
              <w:t>13-014-107/24</w:t>
            </w:r>
          </w:p>
        </w:tc>
      </w:tr>
      <w:tr w:rsidR="00584DB7">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t>Назив ревидираног субјекта/oрганизационе јединице укључене у ревидирани процес:</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Одјељење за локални економски развој и друштвене  дјелатности</w:t>
            </w:r>
          </w:p>
        </w:tc>
      </w:tr>
      <w:tr w:rsidR="00584DB7">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Вођа ревизорског тима: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tabs>
                <w:tab w:val="left" w:pos="300"/>
                <w:tab w:val="center" w:pos="269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tc>
      </w:tr>
      <w:tr w:rsidR="00584DB7">
        <w:trPr>
          <w:trHeight w:val="90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Чланови ревизорског тима: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584DB7">
        <w:trPr>
          <w:trHeight w:val="312"/>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ИЗВРШНИ РЕЗИМЕ</w:t>
            </w:r>
          </w:p>
        </w:tc>
      </w:tr>
      <w:tr w:rsidR="00584DB7">
        <w:trPr>
          <w:trHeight w:val="611"/>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pStyle w:val="CommentText"/>
            </w:pPr>
            <w:r>
              <w:rPr>
                <w:rFonts w:ascii="Times New Roman" w:hAnsi="Times New Roman" w:cs="Times New Roman"/>
                <w:b/>
                <w:bCs/>
              </w:rPr>
              <w:t xml:space="preserve">Слободан текст </w:t>
            </w:r>
            <w:r>
              <w:rPr>
                <w:rFonts w:ascii="Times New Roman" w:hAnsi="Times New Roman" w:cs="Times New Roman"/>
              </w:rPr>
              <w:t>(навести  кратак опис циљева и обима ревизије, нај</w:t>
            </w:r>
            <w:r w:rsidR="0063026D">
              <w:rPr>
                <w:rFonts w:ascii="Times New Roman" w:hAnsi="Times New Roman" w:cs="Times New Roman"/>
              </w:rPr>
              <w:t>значајнијих налаза ревизије и њ</w:t>
            </w:r>
            <w:r>
              <w:rPr>
                <w:rFonts w:ascii="Times New Roman" w:hAnsi="Times New Roman" w:cs="Times New Roman"/>
              </w:rPr>
              <w:t>има везаних ризика)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color w:val="000000"/>
                <w:sz w:val="20"/>
                <w:szCs w:val="20"/>
              </w:rPr>
              <w:t> Унутар Одјељења за локални економски развој и друштвене дјелатности постоји неколико буџетских ставки код којих се средства додјељују на основу комисијск</w:t>
            </w:r>
            <w:r>
              <w:rPr>
                <w:rFonts w:ascii="Times New Roman" w:eastAsia="Times New Roman" w:hAnsi="Times New Roman" w:cs="Times New Roman"/>
                <w:color w:val="000000"/>
                <w:sz w:val="20"/>
                <w:szCs w:val="20"/>
              </w:rPr>
              <w:t xml:space="preserve">ог одлучивања, а за ову интерну ревизију одабране су три  буџетске ставке како би се провјерило да ли је био расписан јавни позив, постоји ли записник комисије и да ли су средства додјељена на основу одлуке комисије. </w:t>
            </w:r>
          </w:p>
        </w:tc>
      </w:tr>
      <w:tr w:rsidR="00584DB7">
        <w:trPr>
          <w:trHeight w:val="288"/>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УВОД </w:t>
            </w:r>
          </w:p>
        </w:tc>
      </w:tr>
      <w:tr w:rsidR="00584DB7">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pStyle w:val="ListParagraph"/>
              <w:numPr>
                <w:ilvl w:val="1"/>
                <w:numId w:val="1"/>
              </w:numPr>
              <w:spacing w:after="0" w:line="240" w:lineRule="auto"/>
            </w:pPr>
            <w:r>
              <w:rPr>
                <w:rFonts w:ascii="Times New Roman" w:eastAsia="Times New Roman" w:hAnsi="Times New Roman" w:cs="Times New Roman"/>
                <w:b/>
                <w:bCs/>
                <w:color w:val="000000"/>
                <w:sz w:val="20"/>
                <w:szCs w:val="20"/>
              </w:rPr>
              <w:t>Основ за ревизију:</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pPr>
              <w:spacing w:after="0" w:line="240" w:lineRule="auto"/>
              <w:rPr>
                <w:rFonts w:ascii="Times New Roman" w:eastAsia="Times New Roman" w:hAnsi="Times New Roman" w:cs="Times New Roman"/>
                <w:color w:val="000000"/>
                <w:sz w:val="20"/>
                <w:szCs w:val="20"/>
              </w:rPr>
            </w:pPr>
          </w:p>
        </w:tc>
      </w:tr>
      <w:tr w:rsidR="00584DB7">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pStyle w:val="ListParagraph"/>
              <w:numPr>
                <w:ilvl w:val="1"/>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Предмет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pPr>
              <w:spacing w:after="0" w:line="240" w:lineRule="auto"/>
              <w:rPr>
                <w:rFonts w:ascii="Times New Roman" w:eastAsia="Times New Roman" w:hAnsi="Times New Roman" w:cs="Times New Roman"/>
                <w:color w:val="000000"/>
                <w:sz w:val="20"/>
                <w:szCs w:val="20"/>
              </w:rPr>
            </w:pPr>
          </w:p>
        </w:tc>
      </w:tr>
      <w:tr w:rsidR="00584DB7">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t xml:space="preserve">1.3. Циљеви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Осигурати да је објављен јавни позив за додјелу средстава. </w:t>
            </w:r>
          </w:p>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Осигурати да постоји записник комисије о додјели средстава.</w:t>
            </w:r>
          </w:p>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Осигурати да су средства одобрена на основу записника комисије.</w:t>
            </w:r>
          </w:p>
        </w:tc>
      </w:tr>
      <w:tr w:rsidR="00584DB7">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584DB7" w:rsidRDefault="0038724F">
            <w:pPr>
              <w:spacing w:after="0" w:line="240" w:lineRule="auto"/>
            </w:pPr>
            <w:r>
              <w:rPr>
                <w:rFonts w:ascii="Times New Roman" w:eastAsia="Times New Roman" w:hAnsi="Times New Roman" w:cs="Times New Roman"/>
                <w:b/>
                <w:bCs/>
                <w:color w:val="000000"/>
                <w:sz w:val="20"/>
                <w:szCs w:val="20"/>
              </w:rPr>
              <w:t>1.4. Обим и</w:t>
            </w:r>
            <w:r>
              <w:rPr>
                <w:rFonts w:ascii="Times New Roman" w:eastAsia="Times New Roman" w:hAnsi="Times New Roman" w:cs="Times New Roman"/>
                <w:b/>
                <w:bCs/>
                <w:color w:val="000000"/>
                <w:sz w:val="20"/>
                <w:szCs w:val="20"/>
              </w:rPr>
              <w:t xml:space="preserve">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Правилник о критеријумима, начину и поступку расподјеле средстава удружењима из области културе и осталим удружењима („Службени гласник општине Прњавор“ број 2/18),</w:t>
            </w:r>
          </w:p>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Правилник о додјели студентске награде најбољим студентима са подручј</w:t>
            </w:r>
            <w:r>
              <w:rPr>
                <w:rFonts w:ascii="Times New Roman" w:eastAsia="Times New Roman" w:hAnsi="Times New Roman" w:cs="Times New Roman"/>
                <w:color w:val="000000"/>
                <w:sz w:val="20"/>
                <w:szCs w:val="20"/>
              </w:rPr>
              <w:t>а општине Прњавор („Службени гласник општине Прњавор“број 17/18, 44/20, 31/21 и 25/22),</w:t>
            </w:r>
          </w:p>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Правилник о додјели једнократне новчане помоћи за суфинансирање трошкова асистиране репродукције – вантјелесне оплодње („Службени гласник општине Прњавор“ број 7/19, </w:t>
            </w:r>
            <w:r>
              <w:rPr>
                <w:rFonts w:ascii="Times New Roman" w:eastAsia="Times New Roman" w:hAnsi="Times New Roman" w:cs="Times New Roman"/>
                <w:color w:val="000000"/>
                <w:sz w:val="20"/>
                <w:szCs w:val="20"/>
              </w:rPr>
              <w:t>30/20 и 26/21),</w:t>
            </w:r>
          </w:p>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Одлука о расподјели средстава удружењима из области културе и осталим удружењима у 2023. години („Службени гласник општине Прњавор“ број 10/23, 16/23, 25/23 и 32/23),</w:t>
            </w:r>
          </w:p>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документација везана за рад комисија у 2023. години и првом кварталу </w:t>
            </w:r>
            <w:r>
              <w:rPr>
                <w:rFonts w:ascii="Times New Roman" w:eastAsia="Times New Roman" w:hAnsi="Times New Roman" w:cs="Times New Roman"/>
                <w:color w:val="000000"/>
                <w:sz w:val="20"/>
                <w:szCs w:val="20"/>
              </w:rPr>
              <w:t>2024. године</w:t>
            </w:r>
          </w:p>
        </w:tc>
      </w:tr>
      <w:tr w:rsidR="00584DB7">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lastRenderedPageBreak/>
              <w:t>1.5. Полазне информације о ревидираном подручју</w:t>
            </w:r>
            <w:r>
              <w:rPr>
                <w:rFonts w:ascii="Times New Roman" w:eastAsia="Times New Roman" w:hAnsi="Times New Roman" w:cs="Times New Roman"/>
                <w:color w:val="000000"/>
                <w:sz w:val="20"/>
                <w:szCs w:val="20"/>
              </w:rPr>
              <w:t xml:space="preserve">: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color w:val="000000"/>
                <w:sz w:val="20"/>
                <w:szCs w:val="20"/>
              </w:rPr>
              <w:t> У буџету за 2023. годину на позицији 415200 – Помоћ удружењима из области културе и осталим удружењима планирана су средства у износу 50.000,00 КМ, на позицији 416100 – Средства за студентске</w:t>
            </w:r>
            <w:r>
              <w:rPr>
                <w:rFonts w:ascii="Times New Roman" w:eastAsia="Times New Roman" w:hAnsi="Times New Roman" w:cs="Times New Roman"/>
                <w:color w:val="000000"/>
                <w:sz w:val="20"/>
                <w:szCs w:val="20"/>
              </w:rPr>
              <w:t xml:space="preserve"> награде – посебни резултати током школовања планирано је 25.000,00 КМ, а на позицији 416100 – Мјере за побољшање демографске ситуације (вантјелесна оплодња и сл.) планирана су средства у износу од 15.000,00 КМ. Заједничко за ове три ставке је да се средст</w:t>
            </w:r>
            <w:r>
              <w:rPr>
                <w:rFonts w:ascii="Times New Roman" w:eastAsia="Times New Roman" w:hAnsi="Times New Roman" w:cs="Times New Roman"/>
                <w:color w:val="000000"/>
                <w:sz w:val="20"/>
                <w:szCs w:val="20"/>
              </w:rPr>
              <w:t>ва додјељују путем комисијског одлучивања. Ребалансом буџета за 2023. годину средства за удружења су повећана са 50.000,00 КМ на 88.200,00 КМ.</w:t>
            </w:r>
          </w:p>
        </w:tc>
      </w:tr>
      <w:tr w:rsidR="00584DB7">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pStyle w:val="CommentText"/>
            </w:pPr>
            <w:r>
              <w:rPr>
                <w:rFonts w:ascii="Times New Roman" w:eastAsia="Times New Roman" w:hAnsi="Times New Roman" w:cs="Times New Roman"/>
                <w:b/>
                <w:bCs/>
                <w:color w:val="000000"/>
              </w:rPr>
              <w:t>1.6. Позитивни налази</w:t>
            </w:r>
            <w:r>
              <w:rPr>
                <w:rFonts w:ascii="Times New Roman" w:eastAsia="Times New Roman" w:hAnsi="Times New Roman" w:cs="Times New Roman"/>
                <w:color w:val="000000"/>
              </w:rPr>
              <w:t>:</w:t>
            </w:r>
          </w:p>
          <w:p w:rsidR="00584DB7" w:rsidRDefault="00584DB7">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Ревидиране буџетске ставке из 2023. године у којима се додјела средстава врши путем комисијског одлучивања имале су записник комисије, а средства су додјељивана онако како је и комисија одлучила. </w:t>
            </w:r>
          </w:p>
        </w:tc>
      </w:tr>
      <w:tr w:rsidR="00584DB7">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t xml:space="preserve">1.7. Одговорности: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pPr>
              <w:spacing w:after="0" w:line="240" w:lineRule="auto"/>
              <w:rPr>
                <w:rFonts w:ascii="Times New Roman" w:eastAsia="Times New Roman" w:hAnsi="Times New Roman" w:cs="Times New Roman"/>
                <w:color w:val="000000"/>
                <w:sz w:val="20"/>
                <w:szCs w:val="20"/>
              </w:rPr>
            </w:pPr>
          </w:p>
        </w:tc>
      </w:tr>
      <w:tr w:rsidR="00584DB7">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t xml:space="preserve">1.8. Ограничења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pPr>
              <w:spacing w:after="0" w:line="240" w:lineRule="auto"/>
              <w:rPr>
                <w:rFonts w:ascii="Times New Roman" w:eastAsia="Times New Roman" w:hAnsi="Times New Roman" w:cs="Times New Roman"/>
                <w:color w:val="000000"/>
                <w:sz w:val="20"/>
                <w:szCs w:val="20"/>
              </w:rPr>
            </w:pPr>
          </w:p>
        </w:tc>
      </w:tr>
      <w:tr w:rsidR="00584DB7">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pPr>
              <w:pStyle w:val="CommentText"/>
              <w:rPr>
                <w:rFonts w:ascii="Times New Roman" w:eastAsia="Times New Roman" w:hAnsi="Times New Roman" w:cs="Times New Roman"/>
                <w:b/>
                <w:bCs/>
                <w:color w:val="00000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pPr>
              <w:spacing w:after="0" w:line="240" w:lineRule="auto"/>
              <w:rPr>
                <w:rFonts w:ascii="Times New Roman" w:eastAsia="Times New Roman" w:hAnsi="Times New Roman" w:cs="Times New Roman"/>
                <w:color w:val="000000"/>
                <w:sz w:val="20"/>
                <w:szCs w:val="20"/>
              </w:rPr>
            </w:pPr>
          </w:p>
        </w:tc>
      </w:tr>
      <w:tr w:rsidR="00584DB7">
        <w:trPr>
          <w:trHeight w:val="300"/>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584DB7" w:rsidRDefault="0038724F">
            <w:pPr>
              <w:spacing w:after="0" w:line="240" w:lineRule="auto"/>
            </w:pPr>
            <w:r>
              <w:rPr>
                <w:rFonts w:ascii="Times New Roman" w:eastAsia="Times New Roman" w:hAnsi="Times New Roman" w:cs="Times New Roman"/>
                <w:color w:val="000000"/>
                <w:sz w:val="20"/>
                <w:szCs w:val="20"/>
              </w:rPr>
              <w:t xml:space="preserve">2. </w:t>
            </w:r>
            <w:r>
              <w:rPr>
                <w:rFonts w:ascii="Times New Roman" w:eastAsia="Times New Roman" w:hAnsi="Times New Roman" w:cs="Times New Roman"/>
                <w:color w:val="000000"/>
                <w:sz w:val="20"/>
                <w:szCs w:val="20"/>
              </w:rPr>
              <w:t>НАЛАЗИ, ЗАКЉУЧЦИ И ПРЕПОРУКЕ</w:t>
            </w:r>
          </w:p>
        </w:tc>
      </w:tr>
      <w:tr w:rsidR="00584DB7">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t xml:space="preserve">Претходни ревизијски преглед </w:t>
            </w:r>
            <w:r>
              <w:rPr>
                <w:rFonts w:ascii="Times New Roman" w:eastAsia="Times New Roman" w:hAnsi="Times New Roman" w:cs="Times New Roman"/>
                <w:color w:val="000000"/>
                <w:sz w:val="20"/>
                <w:szCs w:val="20"/>
              </w:rPr>
              <w:t>(спровођење препорука из претходне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pPr>
              <w:spacing w:after="0" w:line="240" w:lineRule="auto"/>
              <w:jc w:val="both"/>
              <w:rPr>
                <w:rFonts w:ascii="Times New Roman" w:eastAsia="Times New Roman" w:hAnsi="Times New Roman" w:cs="Times New Roman"/>
                <w:color w:val="000000"/>
                <w:sz w:val="24"/>
                <w:szCs w:val="24"/>
              </w:rPr>
            </w:pPr>
          </w:p>
        </w:tc>
      </w:tr>
      <w:tr w:rsidR="00584DB7">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 xml:space="preserve">Осигурати да је објављен јавни позив за додјелу средстава. </w:t>
            </w:r>
          </w:p>
        </w:tc>
      </w:tr>
      <w:tr w:rsidR="00584DB7">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lastRenderedPageBreak/>
              <w:t xml:space="preserve">Налази и закључци </w:t>
            </w:r>
            <w:r>
              <w:rPr>
                <w:rFonts w:ascii="Times New Roman" w:eastAsia="Times New Roman" w:hAnsi="Times New Roman" w:cs="Times New Roman"/>
                <w:color w:val="000000"/>
                <w:sz w:val="20"/>
                <w:szCs w:val="20"/>
              </w:rPr>
              <w:t xml:space="preserve">(постојеће стање, очекивано стање, одступања постојећег </w:t>
            </w:r>
            <w:r>
              <w:rPr>
                <w:rFonts w:ascii="Times New Roman" w:eastAsia="Times New Roman" w:hAnsi="Times New Roman" w:cs="Times New Roman"/>
                <w:color w:val="000000"/>
                <w:sz w:val="20"/>
                <w:szCs w:val="20"/>
              </w:rPr>
              <w:t>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Постоје два начина предаје захтјева за додјелу средстава: путем јавног позива или континуирано током године. Код јавног позива захтјеви се могу предати са</w:t>
            </w:r>
            <w:r>
              <w:rPr>
                <w:rFonts w:ascii="Times New Roman" w:eastAsia="Times New Roman" w:hAnsi="Times New Roman" w:cs="Times New Roman"/>
                <w:color w:val="000000"/>
                <w:sz w:val="20"/>
                <w:szCs w:val="20"/>
              </w:rPr>
              <w:t>мо у дефинисаном року док траје јавни позив. У ревидираном узорку додјеле средстава у два случаја се објављује јавни позив (удружења и студентска награда),  а код вјештачке оплодње нема јавног позива из разлога што предсједник комисије и гинеколог у ЈЗУ До</w:t>
            </w:r>
            <w:r>
              <w:rPr>
                <w:rFonts w:ascii="Times New Roman" w:eastAsia="Times New Roman" w:hAnsi="Times New Roman" w:cs="Times New Roman"/>
                <w:color w:val="000000"/>
                <w:sz w:val="20"/>
                <w:szCs w:val="20"/>
              </w:rPr>
              <w:t>м здравља Прњавор Малић др Свјетлана, упућује своје пацијенткиње да поднесу захтјев уколико примјети да испуњавају услове из правилника, а уједно је и упозната  са досадашњим покушајима вантјелесне оплодње својих пацијенткиња. У току 2023. године и првог к</w:t>
            </w:r>
            <w:r>
              <w:rPr>
                <w:rFonts w:ascii="Times New Roman" w:eastAsia="Times New Roman" w:hAnsi="Times New Roman" w:cs="Times New Roman"/>
                <w:color w:val="000000"/>
                <w:sz w:val="20"/>
                <w:szCs w:val="20"/>
              </w:rPr>
              <w:t>вартала 2024. године било је укупно 7 закључака о исплати средстава на име вјештачке оплодње. Што се тиче јавних позива, за удружења је објављен почетком марта 2023. године и био је отворен 15 дана, а за студентске награде је отворен 20.09.2023. године и т</w:t>
            </w:r>
            <w:r>
              <w:rPr>
                <w:rFonts w:ascii="Times New Roman" w:eastAsia="Times New Roman" w:hAnsi="Times New Roman" w:cs="Times New Roman"/>
                <w:color w:val="000000"/>
                <w:sz w:val="20"/>
                <w:szCs w:val="20"/>
              </w:rPr>
              <w:t>рајао је 8 дана. Јавни позиви су објављивани на огласној табли и путем интернета на званичној веб страници градске управе. У току марта 2024. године објављен је нови јавни позив за удружења који тек треба да разматра именована комисија.</w:t>
            </w:r>
          </w:p>
        </w:tc>
      </w:tr>
      <w:tr w:rsidR="00584DB7">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t xml:space="preserve">Препоруке </w:t>
            </w:r>
            <w:r w:rsidR="003B5B0E">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3B5B0E">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tc>
      </w:tr>
      <w:tr w:rsidR="00584DB7">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постоји записник комисије о додјели средстава.</w:t>
            </w:r>
          </w:p>
        </w:tc>
      </w:tr>
      <w:tr w:rsidR="00584DB7">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 xml:space="preserve">(постојеће стање, очекивано стање, одступања постојећег од очекиваног стања, узроци одступања постојећег од </w:t>
            </w:r>
            <w:r>
              <w:rPr>
                <w:rFonts w:ascii="Times New Roman" w:eastAsia="Times New Roman" w:hAnsi="Times New Roman" w:cs="Times New Roman"/>
                <w:color w:val="000000"/>
                <w:sz w:val="20"/>
                <w:szCs w:val="20"/>
              </w:rPr>
              <w:t>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 Након што је затворен јавни позив за удружења у 2023. години, састала се именована комисија и извршила бодовање у складу са правилником (посебни и позитивни критеријуми), а на основу освојених бодова пропор</w:t>
            </w:r>
            <w:r>
              <w:rPr>
                <w:rFonts w:ascii="Times New Roman" w:eastAsia="Times New Roman" w:hAnsi="Times New Roman" w:cs="Times New Roman"/>
                <w:color w:val="000000"/>
                <w:sz w:val="20"/>
                <w:szCs w:val="20"/>
              </w:rPr>
              <w:t>ционално је направљена расподјела расположивих средстава (већи износ освојених бодова једнак је већем износу додијељених средстава). Такође, код додјеле студентске награде, након затварања јавног позива састала се именована комисија и  извршила бодовање пр</w:t>
            </w:r>
            <w:r>
              <w:rPr>
                <w:rFonts w:ascii="Times New Roman" w:eastAsia="Times New Roman" w:hAnsi="Times New Roman" w:cs="Times New Roman"/>
                <w:color w:val="000000"/>
                <w:sz w:val="20"/>
                <w:szCs w:val="20"/>
              </w:rPr>
              <w:t xml:space="preserve">истиглих пријава у складу са правилником (просјечна оцјена у току досадашњег школовања, година студија и учешће на такмичењима), те је на основу бодовања донесен записник којим се одређује да прва три студента са највише освојених бодова добије студентску </w:t>
            </w:r>
            <w:r>
              <w:rPr>
                <w:rFonts w:ascii="Times New Roman" w:eastAsia="Times New Roman" w:hAnsi="Times New Roman" w:cs="Times New Roman"/>
                <w:color w:val="000000"/>
                <w:sz w:val="20"/>
                <w:szCs w:val="20"/>
              </w:rPr>
              <w:t xml:space="preserve">награду. Код вантјелесне </w:t>
            </w:r>
            <w:r>
              <w:rPr>
                <w:rFonts w:ascii="Times New Roman" w:eastAsia="Times New Roman" w:hAnsi="Times New Roman" w:cs="Times New Roman"/>
                <w:color w:val="000000"/>
                <w:sz w:val="20"/>
                <w:szCs w:val="20"/>
              </w:rPr>
              <w:lastRenderedPageBreak/>
              <w:t xml:space="preserve">оплодње записник се прави уз сваки појединачни предмет из разлога што их не буде пуно у току године (мање од 10 захтјева), а у истим се образлаже на основу којег члана и става правилника се могу додијелити средства. Сви ревидирани </w:t>
            </w:r>
            <w:r>
              <w:rPr>
                <w:rFonts w:ascii="Times New Roman" w:eastAsia="Times New Roman" w:hAnsi="Times New Roman" w:cs="Times New Roman"/>
                <w:color w:val="000000"/>
                <w:sz w:val="20"/>
                <w:szCs w:val="20"/>
              </w:rPr>
              <w:t xml:space="preserve">записници комисија су уредно потписани од стране именованих чланова, садрже наведено мјесто и вријеме одржавања састанка, а начин бодовања и додјела средстава су урађени према важећим правилницима. </w:t>
            </w:r>
          </w:p>
        </w:tc>
      </w:tr>
      <w:tr w:rsidR="00584DB7">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3227F2">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3227F2">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tc>
      </w:tr>
      <w:tr w:rsidR="00584DB7">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су средства одобрена на основу записника комисије.</w:t>
            </w:r>
          </w:p>
        </w:tc>
      </w:tr>
      <w:tr w:rsidR="00584DB7">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 У ревидираном узорку било је 7 записника о вјештачкој оплодњи на основу којих је урађено 7 закључака о исплати у износима која су одређена у записницима. Код студентске награде, прва три студента који су имали највећи број бодова су добили износ по 5.0</w:t>
            </w:r>
            <w:r>
              <w:rPr>
                <w:rFonts w:ascii="Times New Roman" w:eastAsia="Times New Roman" w:hAnsi="Times New Roman" w:cs="Times New Roman"/>
                <w:color w:val="000000"/>
                <w:sz w:val="20"/>
                <w:szCs w:val="20"/>
              </w:rPr>
              <w:t>00,00 КМ, док су преостала четири студента добили по 500,00 КМ на име испуњености услова за учествовање за студентску награду (просјек преко 9,50). Што се тиче удружења, након затварања јавног позива, комисија је извршила бодовање и распоредила тренутно ра</w:t>
            </w:r>
            <w:r>
              <w:rPr>
                <w:rFonts w:ascii="Times New Roman" w:eastAsia="Times New Roman" w:hAnsi="Times New Roman" w:cs="Times New Roman"/>
                <w:color w:val="000000"/>
                <w:sz w:val="20"/>
                <w:szCs w:val="20"/>
              </w:rPr>
              <w:t>сположива средства на програме и пројекте који су испунили услове према висини освојених бодова (више бодова, већи износ средстава). Планирана средства за 2023. годину су износила 50.000,00 КМ и на овај износ су распоређена средства која су објављена у Одл</w:t>
            </w:r>
            <w:r>
              <w:rPr>
                <w:rFonts w:ascii="Times New Roman" w:eastAsia="Times New Roman" w:hAnsi="Times New Roman" w:cs="Times New Roman"/>
                <w:color w:val="000000"/>
                <w:sz w:val="20"/>
                <w:szCs w:val="20"/>
              </w:rPr>
              <w:t>уци о расподјели средстава удружењима из области културе и осталим удружењима у 2023. години. Наведена одлука је у току 2023. године претрпјела три измјене јер су се ребалансом буџета настојала обезбједити додатна средства пројектима и програмима који су и</w:t>
            </w:r>
            <w:r>
              <w:rPr>
                <w:rFonts w:ascii="Times New Roman" w:eastAsia="Times New Roman" w:hAnsi="Times New Roman" w:cs="Times New Roman"/>
                <w:color w:val="000000"/>
                <w:sz w:val="20"/>
                <w:szCs w:val="20"/>
              </w:rPr>
              <w:t>спунили услове, а за које одобрена средства нису била довољна да подмире све остварене трошкове манифестације. Тако су додатна средства исплаћена Мото клубу за одржавање моторијаде, СПКД "Просвјета" за одржавање васкршњих свечаности, Удружењу "Опстанак" за</w:t>
            </w:r>
            <w:r>
              <w:rPr>
                <w:rFonts w:ascii="Times New Roman" w:eastAsia="Times New Roman" w:hAnsi="Times New Roman" w:cs="Times New Roman"/>
                <w:color w:val="000000"/>
                <w:sz w:val="20"/>
                <w:szCs w:val="20"/>
              </w:rPr>
              <w:t xml:space="preserve"> укњижбу плацева на избјегла и расељена лица, итд. Упоредним прегледом исплаћених закључака за удружења у 2023. години и измјенама Одлуке  о расподјели </w:t>
            </w:r>
            <w:r>
              <w:rPr>
                <w:rFonts w:ascii="Times New Roman" w:eastAsia="Times New Roman" w:hAnsi="Times New Roman" w:cs="Times New Roman"/>
                <w:color w:val="000000"/>
                <w:sz w:val="20"/>
                <w:szCs w:val="20"/>
              </w:rPr>
              <w:lastRenderedPageBreak/>
              <w:t>средстава удружењима из области културе и осталим удружењима (од планираних почетних 50.000,00 КМ реализ</w:t>
            </w:r>
            <w:r>
              <w:rPr>
                <w:rFonts w:ascii="Times New Roman" w:eastAsia="Times New Roman" w:hAnsi="Times New Roman" w:cs="Times New Roman"/>
                <w:color w:val="000000"/>
                <w:sz w:val="20"/>
                <w:szCs w:val="20"/>
              </w:rPr>
              <w:t xml:space="preserve">овано је 88.000,00 КМ) утврђено је да су средства исплаћена тачно онако како је и дефинисано свим промјенама у наведеној одлуци.     </w:t>
            </w:r>
          </w:p>
        </w:tc>
      </w:tr>
      <w:tr w:rsidR="00584DB7">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541946">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541946">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tc>
      </w:tr>
      <w:tr w:rsidR="00584DB7">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pPr>
            <w:r>
              <w:rPr>
                <w:rFonts w:ascii="Times New Roman" w:eastAsia="Times New Roman" w:hAnsi="Times New Roman" w:cs="Times New Roman"/>
                <w:b/>
                <w:bCs/>
                <w:color w:val="000000"/>
                <w:sz w:val="20"/>
                <w:szCs w:val="20"/>
              </w:rPr>
              <w:t>Прихваћене: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tc>
      </w:tr>
      <w:tr w:rsidR="00584DB7">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38724F">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Коментар руководства: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tc>
      </w:tr>
      <w:tr w:rsidR="00584DB7">
        <w:trPr>
          <w:trHeight w:val="324"/>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584DB7" w:rsidRDefault="003872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ПРИЛОЗИ </w:t>
            </w:r>
          </w:p>
        </w:tc>
      </w:tr>
      <w:tr w:rsidR="00584DB7">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pPr>
              <w:spacing w:after="0" w:line="240" w:lineRule="auto"/>
              <w:rPr>
                <w:rFonts w:ascii="Times New Roman" w:eastAsia="Times New Roman" w:hAnsi="Times New Roman" w:cs="Times New Roman"/>
                <w:color w:val="000000"/>
                <w:sz w:val="24"/>
                <w:szCs w:val="24"/>
              </w:rPr>
            </w:pPr>
          </w:p>
        </w:tc>
      </w:tr>
      <w:tr w:rsidR="00584DB7">
        <w:trPr>
          <w:trHeight w:val="336"/>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84DB7" w:rsidRDefault="00584DB7">
            <w:pPr>
              <w:spacing w:after="0" w:line="240" w:lineRule="auto"/>
              <w:rPr>
                <w:rFonts w:ascii="Times New Roman" w:eastAsia="Times New Roman" w:hAnsi="Times New Roman" w:cs="Times New Roman"/>
                <w:color w:val="000000"/>
                <w:sz w:val="24"/>
                <w:szCs w:val="24"/>
              </w:rPr>
            </w:pPr>
          </w:p>
        </w:tc>
      </w:tr>
    </w:tbl>
    <w:p w:rsidR="00584DB7" w:rsidRDefault="00584DB7"/>
    <w:p w:rsidR="00584DB7" w:rsidRDefault="00584DB7"/>
    <w:tbl>
      <w:tblPr>
        <w:tblW w:w="13068" w:type="dxa"/>
        <w:tblLook w:val="0000"/>
      </w:tblPr>
      <w:tblGrid>
        <w:gridCol w:w="2157"/>
        <w:gridCol w:w="2158"/>
        <w:gridCol w:w="2158"/>
        <w:gridCol w:w="119"/>
        <w:gridCol w:w="2039"/>
        <w:gridCol w:w="2157"/>
        <w:gridCol w:w="2280"/>
      </w:tblGrid>
      <w:tr w:rsidR="00584DB7">
        <w:tc>
          <w:tcPr>
            <w:tcW w:w="2157" w:type="dxa"/>
            <w:shd w:val="clear" w:color="auto" w:fill="auto"/>
          </w:tcPr>
          <w:p w:rsidR="00584DB7" w:rsidRDefault="00584DB7">
            <w:pPr>
              <w:spacing w:after="0" w:line="240" w:lineRule="auto"/>
              <w:jc w:val="center"/>
            </w:pPr>
          </w:p>
        </w:tc>
        <w:tc>
          <w:tcPr>
            <w:tcW w:w="2158" w:type="dxa"/>
            <w:tcBorders>
              <w:bottom w:val="single" w:sz="4" w:space="0" w:color="00000A"/>
            </w:tcBorders>
            <w:shd w:val="clear" w:color="auto" w:fill="auto"/>
          </w:tcPr>
          <w:p w:rsidR="00584DB7" w:rsidRDefault="00584DB7">
            <w:pPr>
              <w:spacing w:after="0" w:line="240" w:lineRule="auto"/>
              <w:jc w:val="center"/>
            </w:pPr>
          </w:p>
        </w:tc>
        <w:tc>
          <w:tcPr>
            <w:tcW w:w="2158" w:type="dxa"/>
            <w:shd w:val="clear" w:color="auto" w:fill="auto"/>
          </w:tcPr>
          <w:p w:rsidR="00584DB7" w:rsidRDefault="00584DB7">
            <w:pPr>
              <w:spacing w:after="0" w:line="240" w:lineRule="auto"/>
              <w:jc w:val="center"/>
            </w:pPr>
          </w:p>
        </w:tc>
        <w:tc>
          <w:tcPr>
            <w:tcW w:w="2158" w:type="dxa"/>
            <w:gridSpan w:val="2"/>
            <w:shd w:val="clear" w:color="auto" w:fill="auto"/>
          </w:tcPr>
          <w:p w:rsidR="00584DB7" w:rsidRDefault="00584DB7">
            <w:pPr>
              <w:spacing w:after="0" w:line="240" w:lineRule="auto"/>
              <w:jc w:val="center"/>
            </w:pPr>
          </w:p>
        </w:tc>
        <w:tc>
          <w:tcPr>
            <w:tcW w:w="2157" w:type="dxa"/>
            <w:tcBorders>
              <w:bottom w:val="single" w:sz="4" w:space="0" w:color="00000A"/>
            </w:tcBorders>
            <w:shd w:val="clear" w:color="auto" w:fill="auto"/>
          </w:tcPr>
          <w:p w:rsidR="00584DB7" w:rsidRDefault="00584DB7">
            <w:pPr>
              <w:spacing w:after="0" w:line="240" w:lineRule="auto"/>
              <w:jc w:val="center"/>
            </w:pPr>
          </w:p>
        </w:tc>
        <w:tc>
          <w:tcPr>
            <w:tcW w:w="2280" w:type="dxa"/>
            <w:shd w:val="clear" w:color="auto" w:fill="auto"/>
          </w:tcPr>
          <w:p w:rsidR="00584DB7" w:rsidRDefault="00584DB7">
            <w:pPr>
              <w:spacing w:after="0" w:line="240" w:lineRule="auto"/>
              <w:jc w:val="center"/>
            </w:pPr>
          </w:p>
        </w:tc>
      </w:tr>
      <w:tr w:rsidR="00584DB7">
        <w:tc>
          <w:tcPr>
            <w:tcW w:w="6473" w:type="dxa"/>
            <w:gridSpan w:val="3"/>
            <w:shd w:val="clear" w:color="auto" w:fill="auto"/>
          </w:tcPr>
          <w:p w:rsidR="00584DB7" w:rsidRPr="00A66B5A" w:rsidRDefault="00584DB7">
            <w:pPr>
              <w:spacing w:after="0" w:line="240" w:lineRule="auto"/>
              <w:jc w:val="center"/>
              <w:rPr>
                <w:rFonts w:ascii="Times New Roman" w:eastAsia="Times New Roman" w:hAnsi="Times New Roman" w:cs="Times New Roman"/>
                <w:color w:val="000000"/>
                <w:lang w:val="sr-Cyrl-BA"/>
              </w:rPr>
            </w:pPr>
          </w:p>
        </w:tc>
        <w:tc>
          <w:tcPr>
            <w:tcW w:w="6595" w:type="dxa"/>
            <w:gridSpan w:val="4"/>
            <w:shd w:val="clear" w:color="auto" w:fill="auto"/>
          </w:tcPr>
          <w:p w:rsidR="00584DB7" w:rsidRPr="00A66B5A" w:rsidRDefault="00A66B5A">
            <w:pPr>
              <w:spacing w:after="0" w:line="240" w:lineRule="auto"/>
              <w:jc w:val="center"/>
              <w:rPr>
                <w:rFonts w:ascii="Times New Roman" w:eastAsia="Times New Roman" w:hAnsi="Times New Roman" w:cs="Times New Roman"/>
                <w:color w:val="000000"/>
                <w:lang w:val="sr-Cyrl-BA"/>
              </w:rPr>
            </w:pPr>
            <w:r>
              <w:rPr>
                <w:rFonts w:ascii="Times New Roman" w:eastAsia="Times New Roman" w:hAnsi="Times New Roman" w:cs="Times New Roman"/>
                <w:color w:val="000000"/>
                <w:lang w:val="sr-Cyrl-BA"/>
              </w:rPr>
              <w:t>Зоран Дебељак, интерни ревизор</w:t>
            </w:r>
          </w:p>
        </w:tc>
      </w:tr>
      <w:tr w:rsidR="00584DB7">
        <w:trPr>
          <w:trHeight w:val="1383"/>
        </w:trPr>
        <w:tc>
          <w:tcPr>
            <w:tcW w:w="13068" w:type="dxa"/>
            <w:gridSpan w:val="7"/>
            <w:shd w:val="clear" w:color="auto" w:fill="auto"/>
          </w:tcPr>
          <w:p w:rsidR="00584DB7" w:rsidRDefault="00584DB7">
            <w:pPr>
              <w:spacing w:after="0" w:line="240" w:lineRule="auto"/>
            </w:pPr>
          </w:p>
        </w:tc>
      </w:tr>
      <w:tr w:rsidR="00584DB7">
        <w:tc>
          <w:tcPr>
            <w:tcW w:w="6592" w:type="dxa"/>
            <w:gridSpan w:val="4"/>
            <w:shd w:val="clear" w:color="auto" w:fill="auto"/>
          </w:tcPr>
          <w:p w:rsidR="00584DB7" w:rsidRDefault="0038724F">
            <w:pPr>
              <w:spacing w:after="0" w:line="240" w:lineRule="auto"/>
            </w:pPr>
            <w:r>
              <w:rPr>
                <w:rFonts w:ascii="Times New Roman" w:hAnsi="Times New Roman" w:cs="Times New Roman"/>
              </w:rPr>
              <w:t xml:space="preserve">Коначан ревизорски извјештај је достављен: </w:t>
            </w:r>
          </w:p>
        </w:tc>
        <w:tc>
          <w:tcPr>
            <w:tcW w:w="6476" w:type="dxa"/>
            <w:gridSpan w:val="3"/>
            <w:shd w:val="clear" w:color="auto" w:fill="auto"/>
          </w:tcPr>
          <w:p w:rsidR="00584DB7" w:rsidRDefault="00584DB7">
            <w:pPr>
              <w:spacing w:after="0" w:line="240" w:lineRule="auto"/>
            </w:pPr>
          </w:p>
        </w:tc>
      </w:tr>
      <w:tr w:rsidR="00584DB7">
        <w:trPr>
          <w:trHeight w:val="960"/>
        </w:trPr>
        <w:tc>
          <w:tcPr>
            <w:tcW w:w="13068" w:type="dxa"/>
            <w:gridSpan w:val="7"/>
            <w:shd w:val="clear" w:color="auto" w:fill="auto"/>
          </w:tcPr>
          <w:p w:rsidR="00584DB7" w:rsidRDefault="0038724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Одјељење за локалн</w:t>
            </w:r>
            <w:r w:rsidR="00A66B5A">
              <w:rPr>
                <w:rFonts w:ascii="Times New Roman" w:eastAsia="Times New Roman" w:hAnsi="Times New Roman" w:cs="Times New Roman"/>
                <w:color w:val="000000"/>
              </w:rPr>
              <w:t xml:space="preserve">и економски развој и друштвене </w:t>
            </w:r>
            <w:r>
              <w:rPr>
                <w:rFonts w:ascii="Times New Roman" w:eastAsia="Times New Roman" w:hAnsi="Times New Roman" w:cs="Times New Roman"/>
                <w:color w:val="000000"/>
              </w:rPr>
              <w:t>дјелатности</w:t>
            </w:r>
          </w:p>
          <w:p w:rsidR="00584DB7" w:rsidRDefault="0038724F">
            <w:pPr>
              <w:spacing w:after="0" w:line="240" w:lineRule="auto"/>
              <w:rPr>
                <w:rFonts w:ascii="Times New Roman" w:hAnsi="Times New Roman" w:cs="Times New Roman"/>
              </w:rPr>
            </w:pPr>
            <w:r>
              <w:rPr>
                <w:rFonts w:ascii="Times New Roman" w:hAnsi="Times New Roman" w:cs="Times New Roman"/>
              </w:rPr>
              <w:t>Руководилац субјекта,</w:t>
            </w:r>
          </w:p>
          <w:p w:rsidR="00584DB7" w:rsidRDefault="0038724F">
            <w:pPr>
              <w:spacing w:after="0" w:line="240" w:lineRule="auto"/>
              <w:rPr>
                <w:rFonts w:ascii="Times New Roman" w:hAnsi="Times New Roman" w:cs="Times New Roman"/>
              </w:rPr>
            </w:pPr>
            <w:r>
              <w:rPr>
                <w:rFonts w:ascii="Times New Roman" w:hAnsi="Times New Roman" w:cs="Times New Roman"/>
              </w:rPr>
              <w:t>а/а</w:t>
            </w:r>
          </w:p>
        </w:tc>
      </w:tr>
    </w:tbl>
    <w:p w:rsidR="00584DB7" w:rsidRDefault="00584DB7"/>
    <w:sectPr w:rsidR="00584DB7" w:rsidSect="00584DB7">
      <w:headerReference w:type="default" r:id="rId7"/>
      <w:pgSz w:w="15840" w:h="12240" w:orient="landscape"/>
      <w:pgMar w:top="1440" w:right="1440" w:bottom="1440" w:left="1440" w:header="709" w:footer="0"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24F" w:rsidRDefault="0038724F" w:rsidP="00584DB7">
      <w:pPr>
        <w:spacing w:after="0" w:line="240" w:lineRule="auto"/>
      </w:pPr>
      <w:r>
        <w:separator/>
      </w:r>
    </w:p>
  </w:endnote>
  <w:endnote w:type="continuationSeparator" w:id="1">
    <w:p w:rsidR="0038724F" w:rsidRDefault="0038724F" w:rsidP="00584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1"/>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24F" w:rsidRDefault="0038724F" w:rsidP="00584DB7">
      <w:pPr>
        <w:spacing w:after="0" w:line="240" w:lineRule="auto"/>
      </w:pPr>
      <w:r>
        <w:separator/>
      </w:r>
    </w:p>
  </w:footnote>
  <w:footnote w:type="continuationSeparator" w:id="1">
    <w:p w:rsidR="0038724F" w:rsidRDefault="0038724F" w:rsidP="00584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950" w:type="dxa"/>
      <w:tblBorders>
        <w:top w:val="single" w:sz="8" w:space="0" w:color="00000A"/>
        <w:left w:val="single" w:sz="8" w:space="0" w:color="00000A"/>
        <w:right w:val="single" w:sz="8" w:space="0" w:color="000001"/>
        <w:insideV w:val="single" w:sz="8" w:space="0" w:color="000001"/>
      </w:tblBorders>
      <w:tblCellMar>
        <w:left w:w="98" w:type="dxa"/>
      </w:tblCellMar>
      <w:tblLook w:val="0000"/>
    </w:tblPr>
    <w:tblGrid>
      <w:gridCol w:w="12950"/>
    </w:tblGrid>
    <w:tr w:rsidR="00584DB7">
      <w:trPr>
        <w:trHeight w:val="576"/>
      </w:trPr>
      <w:tc>
        <w:tcPr>
          <w:tcW w:w="12950" w:type="dxa"/>
          <w:tcBorders>
            <w:top w:val="single" w:sz="8" w:space="0" w:color="00000A"/>
            <w:left w:val="single" w:sz="8" w:space="0" w:color="00000A"/>
            <w:right w:val="single" w:sz="8" w:space="0" w:color="000001"/>
          </w:tcBorders>
          <w:shd w:val="clear" w:color="auto" w:fill="D9E1F2"/>
          <w:tcMar>
            <w:left w:w="98" w:type="dxa"/>
          </w:tcMar>
        </w:tcPr>
        <w:p w:rsidR="00584DB7" w:rsidRDefault="0038724F">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ЈИР - Град Прњавор</w:t>
          </w:r>
        </w:p>
      </w:tc>
    </w:tr>
    <w:tr w:rsidR="00584DB7">
      <w:trPr>
        <w:trHeight w:val="432"/>
      </w:trPr>
      <w:tc>
        <w:tcPr>
          <w:tcW w:w="12950" w:type="dxa"/>
          <w:tcBorders>
            <w:left w:val="single" w:sz="8" w:space="0" w:color="00000A"/>
            <w:bottom w:val="single" w:sz="4" w:space="0" w:color="00000A"/>
            <w:right w:val="single" w:sz="8" w:space="0" w:color="000001"/>
          </w:tcBorders>
          <w:shd w:val="clear" w:color="auto" w:fill="FFFFFF"/>
          <w:tcMar>
            <w:left w:w="98" w:type="dxa"/>
          </w:tcMar>
        </w:tcPr>
        <w:p w:rsidR="00584DB7" w:rsidRDefault="0038724F">
          <w:pPr>
            <w:tabs>
              <w:tab w:val="left" w:pos="352"/>
              <w:tab w:val="right" w:pos="12734"/>
            </w:tabs>
            <w:spacing w:after="0" w:line="240" w:lineRule="auto"/>
            <w:jc w:val="right"/>
          </w:pPr>
          <w:r>
            <w:rPr>
              <w:rFonts w:ascii="Times New Roman" w:eastAsia="Times New Roman" w:hAnsi="Times New Roman" w:cs="Times New Roman"/>
              <w:b/>
              <w:bCs/>
              <w:sz w:val="24"/>
              <w:szCs w:val="24"/>
            </w:rPr>
            <w:t xml:space="preserve">ОБРАЗАЦ 7 </w:t>
          </w:r>
        </w:p>
      </w:tc>
    </w:tr>
  </w:tbl>
  <w:p w:rsidR="00584DB7" w:rsidRDefault="00584D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16578"/>
    <w:multiLevelType w:val="multilevel"/>
    <w:tmpl w:val="630631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60AA14EB"/>
    <w:multiLevelType w:val="multilevel"/>
    <w:tmpl w:val="4F9EE5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4DB7"/>
    <w:rsid w:val="003227F2"/>
    <w:rsid w:val="0038724F"/>
    <w:rsid w:val="003B5B0E"/>
    <w:rsid w:val="00541946"/>
    <w:rsid w:val="00584DB7"/>
    <w:rsid w:val="0063026D"/>
    <w:rsid w:val="00A66B5A"/>
    <w:rsid w:val="00D66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DB7"/>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sid w:val="00584DB7"/>
  </w:style>
  <w:style w:type="character" w:customStyle="1" w:styleId="FooterChar">
    <w:name w:val="Footer Char"/>
    <w:basedOn w:val="DefaultParagraphFont"/>
    <w:qFormat/>
    <w:rsid w:val="00584DB7"/>
  </w:style>
  <w:style w:type="character" w:styleId="CommentReference">
    <w:name w:val="annotation reference"/>
    <w:basedOn w:val="DefaultParagraphFont"/>
    <w:qFormat/>
    <w:rsid w:val="00584DB7"/>
    <w:rPr>
      <w:sz w:val="16"/>
      <w:szCs w:val="16"/>
    </w:rPr>
  </w:style>
  <w:style w:type="character" w:customStyle="1" w:styleId="CommentTextChar">
    <w:name w:val="Comment Text Char"/>
    <w:basedOn w:val="DefaultParagraphFont"/>
    <w:qFormat/>
    <w:rsid w:val="00584DB7"/>
    <w:rPr>
      <w:sz w:val="20"/>
      <w:szCs w:val="20"/>
    </w:rPr>
  </w:style>
  <w:style w:type="character" w:customStyle="1" w:styleId="CommentSubjectChar">
    <w:name w:val="Comment Subject Char"/>
    <w:basedOn w:val="CommentTextChar"/>
    <w:qFormat/>
    <w:rsid w:val="00584DB7"/>
    <w:rPr>
      <w:b/>
      <w:bCs/>
      <w:sz w:val="20"/>
      <w:szCs w:val="20"/>
    </w:rPr>
  </w:style>
  <w:style w:type="character" w:customStyle="1" w:styleId="BalloonTextChar">
    <w:name w:val="Balloon Text Char"/>
    <w:basedOn w:val="DefaultParagraphFont"/>
    <w:qFormat/>
    <w:rsid w:val="00584DB7"/>
    <w:rPr>
      <w:rFonts w:ascii="Segoe UI" w:hAnsi="Segoe UI" w:cs="Segoe UI"/>
      <w:sz w:val="18"/>
      <w:szCs w:val="18"/>
    </w:rPr>
  </w:style>
  <w:style w:type="paragraph" w:customStyle="1" w:styleId="Heading">
    <w:name w:val="Heading"/>
    <w:basedOn w:val="Normal"/>
    <w:next w:val="TextBody"/>
    <w:qFormat/>
    <w:rsid w:val="00584DB7"/>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584DB7"/>
    <w:pPr>
      <w:spacing w:after="140" w:line="288" w:lineRule="auto"/>
    </w:pPr>
  </w:style>
  <w:style w:type="paragraph" w:styleId="List">
    <w:name w:val="List"/>
    <w:basedOn w:val="TextBody"/>
    <w:rsid w:val="00584DB7"/>
  </w:style>
  <w:style w:type="paragraph" w:styleId="Caption">
    <w:name w:val="caption"/>
    <w:basedOn w:val="Normal"/>
    <w:qFormat/>
    <w:rsid w:val="00584DB7"/>
    <w:pPr>
      <w:suppressLineNumbers/>
      <w:spacing w:before="120" w:after="120"/>
    </w:pPr>
    <w:rPr>
      <w:i/>
      <w:iCs/>
      <w:sz w:val="24"/>
      <w:szCs w:val="24"/>
    </w:rPr>
  </w:style>
  <w:style w:type="paragraph" w:customStyle="1" w:styleId="Index">
    <w:name w:val="Index"/>
    <w:basedOn w:val="Normal"/>
    <w:qFormat/>
    <w:rsid w:val="00584DB7"/>
    <w:pPr>
      <w:suppressLineNumbers/>
    </w:pPr>
  </w:style>
  <w:style w:type="paragraph" w:styleId="Header">
    <w:name w:val="header"/>
    <w:basedOn w:val="Normal"/>
    <w:rsid w:val="00584DB7"/>
    <w:pPr>
      <w:tabs>
        <w:tab w:val="center" w:pos="4680"/>
        <w:tab w:val="right" w:pos="9360"/>
      </w:tabs>
      <w:spacing w:after="0" w:line="240" w:lineRule="auto"/>
    </w:pPr>
  </w:style>
  <w:style w:type="paragraph" w:styleId="Footer">
    <w:name w:val="footer"/>
    <w:basedOn w:val="Normal"/>
    <w:rsid w:val="00584DB7"/>
    <w:pPr>
      <w:tabs>
        <w:tab w:val="center" w:pos="4680"/>
        <w:tab w:val="right" w:pos="9360"/>
      </w:tabs>
      <w:spacing w:after="0" w:line="240" w:lineRule="auto"/>
    </w:pPr>
  </w:style>
  <w:style w:type="paragraph" w:styleId="CommentText">
    <w:name w:val="annotation text"/>
    <w:basedOn w:val="Normal"/>
    <w:qFormat/>
    <w:rsid w:val="00584DB7"/>
    <w:pPr>
      <w:spacing w:line="240" w:lineRule="auto"/>
    </w:pPr>
    <w:rPr>
      <w:sz w:val="20"/>
      <w:szCs w:val="20"/>
    </w:rPr>
  </w:style>
  <w:style w:type="paragraph" w:styleId="CommentSubject">
    <w:name w:val="annotation subject"/>
    <w:basedOn w:val="CommentText"/>
    <w:qFormat/>
    <w:rsid w:val="00584DB7"/>
    <w:rPr>
      <w:b/>
      <w:bCs/>
    </w:rPr>
  </w:style>
  <w:style w:type="paragraph" w:styleId="BalloonText">
    <w:name w:val="Balloon Text"/>
    <w:basedOn w:val="Normal"/>
    <w:qFormat/>
    <w:rsid w:val="00584DB7"/>
    <w:pPr>
      <w:spacing w:after="0" w:line="240" w:lineRule="auto"/>
    </w:pPr>
    <w:rPr>
      <w:rFonts w:ascii="Segoe UI" w:hAnsi="Segoe UI" w:cs="Segoe UI"/>
      <w:sz w:val="18"/>
      <w:szCs w:val="18"/>
    </w:rPr>
  </w:style>
  <w:style w:type="paragraph" w:styleId="ListParagraph">
    <w:name w:val="List Paragraph"/>
    <w:basedOn w:val="Normal"/>
    <w:qFormat/>
    <w:rsid w:val="00584DB7"/>
    <w:pPr>
      <w:ind w:left="720"/>
      <w:contextualSpacing/>
    </w:pPr>
  </w:style>
  <w:style w:type="paragraph" w:customStyle="1" w:styleId="TableContents">
    <w:name w:val="Table Contents"/>
    <w:basedOn w:val="Normal"/>
    <w:qFormat/>
    <w:rsid w:val="00584DB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5</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Bordanic</dc:creator>
  <dc:description/>
  <cp:lastModifiedBy>korisnik</cp:lastModifiedBy>
  <cp:revision>100</cp:revision>
  <dcterms:created xsi:type="dcterms:W3CDTF">2021-08-16T14:03:00Z</dcterms:created>
  <dcterms:modified xsi:type="dcterms:W3CDTF">2024-04-26T05:44:00Z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