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5B" w:rsidRDefault="000151A3">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64415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реализације активности везаних за стратешко-спроведбене документе у Одјељењу за локални економски развој и друштвене дјелатности </w:t>
            </w:r>
          </w:p>
        </w:tc>
      </w:tr>
      <w:tr w:rsidR="0064415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AA735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03/07/2025 - 25</w:t>
            </w:r>
            <w:r w:rsidR="000151A3">
              <w:rPr>
                <w:rFonts w:ascii="Times New Roman" w:eastAsia="Times New Roman" w:hAnsi="Times New Roman" w:cs="Times New Roman"/>
                <w:color w:val="000000"/>
                <w:sz w:val="20"/>
                <w:szCs w:val="20"/>
              </w:rPr>
              <w:t>/07/2025</w:t>
            </w:r>
          </w:p>
        </w:tc>
      </w:tr>
      <w:tr w:rsidR="0064415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hAnsi="Times New Roman" w:cs="Times New Roman"/>
                <w:sz w:val="20"/>
                <w:szCs w:val="20"/>
              </w:rPr>
            </w:pPr>
            <w:r>
              <w:rPr>
                <w:rFonts w:ascii="Times New Roman" w:hAnsi="Times New Roman" w:cs="Times New Roman"/>
                <w:sz w:val="20"/>
                <w:szCs w:val="20"/>
              </w:rPr>
              <w:t>13-014-183/25</w:t>
            </w:r>
          </w:p>
        </w:tc>
      </w:tr>
      <w:tr w:rsidR="0064415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локални економски развој и друштвене  дјелатности</w:t>
            </w:r>
          </w:p>
        </w:tc>
      </w:tr>
      <w:tr w:rsidR="0064415B">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64415B">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64415B">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64415B">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A93EAF">
              <w:rPr>
                <w:rFonts w:ascii="Times New Roman" w:hAnsi="Times New Roman" w:cs="Times New Roman"/>
              </w:rPr>
              <w:t>значајнијих налаза ревизије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color w:val="000000"/>
                <w:sz w:val="20"/>
                <w:szCs w:val="20"/>
              </w:rPr>
              <w:t> Унутар Одјељења за локални економски развој и друштвене дјелатности формиран је Одсјек за развој чија надлежност је да се бави стратегијом</w:t>
            </w:r>
            <w:r>
              <w:rPr>
                <w:rFonts w:ascii="Times New Roman" w:eastAsia="Times New Roman" w:hAnsi="Times New Roman" w:cs="Times New Roman"/>
                <w:color w:val="000000"/>
                <w:sz w:val="20"/>
                <w:szCs w:val="20"/>
              </w:rPr>
              <w:t xml:space="preserve"> развоја јединице локалне самоуправе, а циљ ове интерне ревизије је да се испита да ли се израђују стратешко - спроведбени документи на основу тачно достављених података.</w:t>
            </w:r>
          </w:p>
        </w:tc>
      </w:tr>
      <w:tr w:rsidR="0064415B">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64415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0"/>
                <w:szCs w:val="20"/>
              </w:rPr>
            </w:pPr>
          </w:p>
        </w:tc>
      </w:tr>
      <w:tr w:rsidR="0064415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0"/>
                <w:szCs w:val="20"/>
              </w:rPr>
            </w:pPr>
          </w:p>
        </w:tc>
      </w:tr>
      <w:tr w:rsidR="0064415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Осигурати да су израђени спроведбени документи на основу стратешког документа. </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су достављени подаци тачни.</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да постоји неопходна сарадња између унутрашњих организационих јединица.</w:t>
            </w: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64415B" w:rsidRDefault="000151A3">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стра</w:t>
            </w:r>
            <w:r>
              <w:rPr>
                <w:rFonts w:ascii="Times New Roman" w:eastAsia="Times New Roman" w:hAnsi="Times New Roman" w:cs="Times New Roman"/>
                <w:color w:val="000000"/>
                <w:sz w:val="20"/>
                <w:szCs w:val="20"/>
              </w:rPr>
              <w:t xml:space="preserve">тешком планирању и управљању развојем у Републици Српској („Службени гласник Републике Српске“, број 63/21), </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Уредба о стратешким документима у Републици Српској („Службени гласник Републике Српске“, бр. 94/21),  </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Уредба о спроведбеним документима („Сл</w:t>
            </w:r>
            <w:r>
              <w:rPr>
                <w:rFonts w:ascii="Times New Roman" w:eastAsia="Times New Roman" w:hAnsi="Times New Roman" w:cs="Times New Roman"/>
                <w:color w:val="000000"/>
                <w:sz w:val="20"/>
                <w:szCs w:val="20"/>
              </w:rPr>
              <w:t xml:space="preserve">ужбени гласник Републике Српске“, бр. 8/22), </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Стратегија развоја општине Прњавор за период 2022. - 2028. годинe,</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израђени спроведбени документи на основу стратешког документа у 2024. и првој половини 2025. године</w:t>
            </w: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w:t>
            </w:r>
            <w:r>
              <w:rPr>
                <w:rFonts w:ascii="Times New Roman" w:eastAsia="Times New Roman" w:hAnsi="Times New Roman" w:cs="Times New Roman"/>
                <w:b/>
                <w:bCs/>
                <w:color w:val="000000"/>
                <w:sz w:val="20"/>
                <w:szCs w:val="20"/>
              </w:rPr>
              <w:t xml:space="preserve">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color w:val="000000"/>
                <w:sz w:val="20"/>
                <w:szCs w:val="20"/>
              </w:rPr>
              <w:t> Стратегије развоја јединица локалне самоуправе су стратешки документи којим се утврђују стратешки циљеви и приоритети развоја јединица локалне самоуправе и представљају основ за израду секторских стратегија јединица локалне самоуправе и спрове</w:t>
            </w:r>
            <w:r>
              <w:rPr>
                <w:rFonts w:ascii="Times New Roman" w:eastAsia="Times New Roman" w:hAnsi="Times New Roman" w:cs="Times New Roman"/>
                <w:color w:val="000000"/>
                <w:sz w:val="20"/>
                <w:szCs w:val="20"/>
              </w:rPr>
              <w:t xml:space="preserve">дбених докумената јединица локалне самоуправе. Скупштине јединице локалне самоуправе на приједлог градоначелника доносе стратегије развоја јединица локалне самоуправе на период од седам година, те је сходно томе донесена Стратегија развоја општине Прњавор </w:t>
            </w:r>
            <w:r>
              <w:rPr>
                <w:rFonts w:ascii="Times New Roman" w:eastAsia="Times New Roman" w:hAnsi="Times New Roman" w:cs="Times New Roman"/>
                <w:color w:val="000000"/>
                <w:sz w:val="20"/>
                <w:szCs w:val="20"/>
              </w:rPr>
              <w:t>за период 2022. - 2028. годинe.</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спровођење стратешких циљева и приоритета утврђених стратешким документима израђују се спроведбени документи, а за јединице локалне самоуправе ради се о следећим документима:</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упутство за средњорочно планирање рада једин</w:t>
            </w:r>
            <w:r>
              <w:rPr>
                <w:rFonts w:ascii="Times New Roman" w:eastAsia="Times New Roman" w:hAnsi="Times New Roman" w:cs="Times New Roman"/>
                <w:color w:val="000000"/>
                <w:sz w:val="20"/>
                <w:szCs w:val="20"/>
              </w:rPr>
              <w:t>ица локалне самоуправе,</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средњорочни планови рада градоначелника и градске управе,</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годишњи план рада градоначелника и градске управе,</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годишњи извјештај о раду градоначелника и градске управе,</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акциони планови за спровођење стратешких докумената,</w:t>
            </w:r>
          </w:p>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го</w:t>
            </w:r>
            <w:r>
              <w:rPr>
                <w:rFonts w:ascii="Times New Roman" w:eastAsia="Times New Roman" w:hAnsi="Times New Roman" w:cs="Times New Roman"/>
                <w:color w:val="000000"/>
                <w:sz w:val="20"/>
                <w:szCs w:val="20"/>
              </w:rPr>
              <w:t xml:space="preserve">дишњи извјештаји о спровођењу стратешких докумената.  </w:t>
            </w: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64415B" w:rsidRDefault="0064415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color w:val="000000"/>
                <w:sz w:val="20"/>
                <w:szCs w:val="20"/>
              </w:rPr>
              <w:t> Одсјек за развој настоји да ажурно доноси стратешко-спроведбене документе, притом пазећи на тачност података уз неопходно међусобну сарадњу свих организационих јединица.</w:t>
            </w: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1.7</w:t>
            </w:r>
            <w:r>
              <w:rPr>
                <w:rFonts w:ascii="Times New Roman" w:eastAsia="Times New Roman" w:hAnsi="Times New Roman" w:cs="Times New Roman"/>
                <w:b/>
                <w:bCs/>
                <w:color w:val="000000"/>
                <w:sz w:val="20"/>
                <w:szCs w:val="20"/>
              </w:rPr>
              <w:t xml:space="preserve">.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0"/>
                <w:szCs w:val="20"/>
              </w:rPr>
            </w:pP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0"/>
                <w:szCs w:val="20"/>
              </w:rPr>
            </w:pPr>
          </w:p>
        </w:tc>
      </w:tr>
      <w:tr w:rsidR="0064415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0"/>
                <w:szCs w:val="20"/>
              </w:rPr>
            </w:pPr>
          </w:p>
        </w:tc>
      </w:tr>
      <w:tr w:rsidR="0064415B">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415B" w:rsidRDefault="000151A3">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64415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jc w:val="both"/>
              <w:rPr>
                <w:rFonts w:ascii="Times New Roman" w:eastAsia="Times New Roman" w:hAnsi="Times New Roman" w:cs="Times New Roman"/>
                <w:color w:val="000000"/>
                <w:sz w:val="24"/>
                <w:szCs w:val="24"/>
              </w:rPr>
            </w:pPr>
          </w:p>
        </w:tc>
      </w:tr>
      <w:tr w:rsidR="0064415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израђени спроведбени документи на основу стратешког документа.</w:t>
            </w:r>
          </w:p>
        </w:tc>
      </w:tr>
      <w:tr w:rsidR="0064415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На основу стратешког документа доносе се спроведбени документи који се постављај</w:t>
            </w:r>
            <w:r>
              <w:rPr>
                <w:rFonts w:ascii="Times New Roman" w:eastAsia="Times New Roman" w:hAnsi="Times New Roman" w:cs="Times New Roman"/>
                <w:color w:val="000000"/>
                <w:sz w:val="20"/>
                <w:szCs w:val="20"/>
              </w:rPr>
              <w:t xml:space="preserve">у на званичну интернет страницу, а за ревидирани период донесени су следећи документи: средњорочни план, годишњи план, годишњи извјештај, акциони план и упутство за средњорочно планирање. Наведени документи су донесени у форми која је прописана уредбом, а </w:t>
            </w:r>
            <w:r>
              <w:rPr>
                <w:rFonts w:ascii="Times New Roman" w:eastAsia="Times New Roman" w:hAnsi="Times New Roman" w:cs="Times New Roman"/>
                <w:color w:val="000000"/>
                <w:sz w:val="20"/>
                <w:szCs w:val="20"/>
              </w:rPr>
              <w:t>тренутно је у изради годишњи извјештај о спровођењу стратегије чије усвајање се очекује на скупштини до краја године.</w:t>
            </w:r>
          </w:p>
        </w:tc>
      </w:tr>
      <w:tr w:rsidR="0064415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Препоруке </w:t>
            </w:r>
            <w:r w:rsidR="00297505">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297505">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Препоручује се доношење и усвајање годишњег извјештаја о спровођењу стратегије,</w:t>
            </w:r>
            <w:r>
              <w:rPr>
                <w:rFonts w:ascii="Times New Roman" w:eastAsia="Times New Roman" w:hAnsi="Times New Roman" w:cs="Times New Roman"/>
                <w:color w:val="000000"/>
                <w:sz w:val="20"/>
                <w:szCs w:val="20"/>
              </w:rPr>
              <w:t xml:space="preserve"> а што је у складу са чланом 27. став (4) Закона о стратешком планирању и управљању развојем у Републици Српској.</w:t>
            </w:r>
          </w:p>
        </w:tc>
      </w:tr>
      <w:tr w:rsidR="0064415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достављени подаци тачни.</w:t>
            </w:r>
          </w:p>
        </w:tc>
      </w:tr>
      <w:tr w:rsidR="0064415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од </w:t>
            </w:r>
            <w:r>
              <w:rPr>
                <w:rFonts w:ascii="Times New Roman" w:eastAsia="Times New Roman" w:hAnsi="Times New Roman" w:cs="Times New Roman"/>
                <w:color w:val="000000"/>
                <w:sz w:val="20"/>
                <w:szCs w:val="20"/>
              </w:rPr>
              <w:t>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Од стране Одсјека за развој достављени су појединачни планови рада свих организационих јединица на основу којих је одрађен свеукупан годишњи план, као и Акци</w:t>
            </w:r>
            <w:r>
              <w:rPr>
                <w:rFonts w:ascii="Times New Roman" w:eastAsia="Times New Roman" w:hAnsi="Times New Roman" w:cs="Times New Roman"/>
                <w:color w:val="000000"/>
                <w:sz w:val="20"/>
                <w:szCs w:val="20"/>
              </w:rPr>
              <w:t xml:space="preserve">они план спровођења стратегије за период 2025-2027. година. Упоредним прегледом података из појединачних достављених планова рада са подацима постављеним у акционом плану, утврђено је да се ради о тачним подацима које су доставиле надлежне особе. </w:t>
            </w:r>
          </w:p>
        </w:tc>
      </w:tr>
      <w:tr w:rsidR="0064415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Препоруке </w:t>
            </w:r>
            <w:r w:rsidR="00C32ACC">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C32ACC">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tc>
      </w:tr>
      <w:tr w:rsidR="0064415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постоји неопходна сарадња између унутрашњих организационих јединица.</w:t>
            </w:r>
          </w:p>
        </w:tc>
      </w:tr>
      <w:tr w:rsidR="0064415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од очекиваног стања, узроци </w:t>
            </w:r>
            <w:r>
              <w:rPr>
                <w:rFonts w:ascii="Times New Roman" w:eastAsia="Times New Roman" w:hAnsi="Times New Roman" w:cs="Times New Roman"/>
                <w:color w:val="000000"/>
                <w:sz w:val="20"/>
                <w:szCs w:val="20"/>
              </w:rPr>
              <w:t>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 Приликом извршавања активности за стратешко-спроведбене документе могу се појавити непожељне околности које би могле утицати на пролонгирање доношења докумената, зато се предузимају </w:t>
            </w:r>
            <w:r>
              <w:rPr>
                <w:rFonts w:ascii="Times New Roman" w:eastAsia="Times New Roman" w:hAnsi="Times New Roman" w:cs="Times New Roman"/>
                <w:color w:val="000000"/>
                <w:sz w:val="20"/>
                <w:szCs w:val="20"/>
              </w:rPr>
              <w:t>све потребне радње да до наведеног не дође. Како би дошло до повећане ефикасности рада организационих јединица и њихове интензивније сарадње, предузете су следеће активности: стручно оспособљавање и едукација службеника, редовно одржавање састанака, правов</w:t>
            </w:r>
            <w:r>
              <w:rPr>
                <w:rFonts w:ascii="Times New Roman" w:eastAsia="Times New Roman" w:hAnsi="Times New Roman" w:cs="Times New Roman"/>
                <w:color w:val="000000"/>
                <w:sz w:val="20"/>
                <w:szCs w:val="20"/>
              </w:rPr>
              <w:t xml:space="preserve">ремена потражња потребне документације за </w:t>
            </w:r>
            <w:r>
              <w:rPr>
                <w:rFonts w:ascii="Times New Roman" w:eastAsia="Times New Roman" w:hAnsi="Times New Roman" w:cs="Times New Roman"/>
                <w:color w:val="000000"/>
                <w:sz w:val="20"/>
                <w:szCs w:val="20"/>
              </w:rPr>
              <w:lastRenderedPageBreak/>
              <w:t xml:space="preserve">израду спроведбених докумената, континуиран надзор над ажурношћу и тачношћу података, те стални надзор. </w:t>
            </w:r>
          </w:p>
        </w:tc>
      </w:tr>
      <w:tr w:rsidR="0064415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6D1262">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6D1262">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tc>
      </w:tr>
      <w:tr w:rsidR="0064415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Препоручује се доношење и усвајање </w:t>
            </w:r>
            <w:r>
              <w:rPr>
                <w:rFonts w:ascii="Times New Roman" w:eastAsia="Times New Roman" w:hAnsi="Times New Roman" w:cs="Times New Roman"/>
                <w:color w:val="000000"/>
                <w:sz w:val="20"/>
                <w:szCs w:val="20"/>
              </w:rPr>
              <w:t>годишњег извјештаја о спровођењу стратегије, а што је у складу са чланом 27. став (4) Закона о стратешком планирању и управљању развојем у Републици Српској.</w:t>
            </w:r>
            <w:r>
              <w:rPr>
                <w:rFonts w:ascii="Times New Roman" w:eastAsia="Times New Roman" w:hAnsi="Times New Roman" w:cs="Times New Roman"/>
                <w:color w:val="000000"/>
                <w:sz w:val="20"/>
                <w:szCs w:val="20"/>
              </w:rPr>
              <w:br/>
            </w:r>
          </w:p>
        </w:tc>
      </w:tr>
      <w:tr w:rsidR="0064415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0151A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tc>
      </w:tr>
      <w:tr w:rsidR="0064415B">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415B" w:rsidRDefault="000151A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64415B">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4"/>
                <w:szCs w:val="24"/>
              </w:rPr>
            </w:pPr>
          </w:p>
        </w:tc>
      </w:tr>
      <w:tr w:rsidR="0064415B">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415B" w:rsidRDefault="0064415B">
            <w:pPr>
              <w:spacing w:after="0" w:line="240" w:lineRule="auto"/>
              <w:rPr>
                <w:rFonts w:ascii="Times New Roman" w:eastAsia="Times New Roman" w:hAnsi="Times New Roman" w:cs="Times New Roman"/>
                <w:color w:val="000000"/>
                <w:sz w:val="24"/>
                <w:szCs w:val="24"/>
              </w:rPr>
            </w:pPr>
          </w:p>
        </w:tc>
      </w:tr>
    </w:tbl>
    <w:p w:rsidR="0064415B" w:rsidRDefault="0064415B"/>
    <w:p w:rsidR="0064415B" w:rsidRDefault="0064415B"/>
    <w:tbl>
      <w:tblPr>
        <w:tblW w:w="13068" w:type="dxa"/>
        <w:tblLook w:val="0000"/>
      </w:tblPr>
      <w:tblGrid>
        <w:gridCol w:w="2157"/>
        <w:gridCol w:w="2158"/>
        <w:gridCol w:w="2158"/>
        <w:gridCol w:w="119"/>
        <w:gridCol w:w="2039"/>
        <w:gridCol w:w="2157"/>
        <w:gridCol w:w="2280"/>
      </w:tblGrid>
      <w:tr w:rsidR="0064415B">
        <w:tc>
          <w:tcPr>
            <w:tcW w:w="2157" w:type="dxa"/>
            <w:shd w:val="clear" w:color="auto" w:fill="auto"/>
          </w:tcPr>
          <w:p w:rsidR="0064415B" w:rsidRDefault="0064415B">
            <w:pPr>
              <w:spacing w:after="0" w:line="240" w:lineRule="auto"/>
              <w:jc w:val="center"/>
            </w:pPr>
          </w:p>
        </w:tc>
        <w:tc>
          <w:tcPr>
            <w:tcW w:w="2158" w:type="dxa"/>
            <w:tcBorders>
              <w:bottom w:val="single" w:sz="4" w:space="0" w:color="00000A"/>
            </w:tcBorders>
            <w:shd w:val="clear" w:color="auto" w:fill="auto"/>
          </w:tcPr>
          <w:p w:rsidR="0064415B" w:rsidRDefault="0064415B">
            <w:pPr>
              <w:spacing w:after="0" w:line="240" w:lineRule="auto"/>
              <w:jc w:val="center"/>
            </w:pPr>
          </w:p>
        </w:tc>
        <w:tc>
          <w:tcPr>
            <w:tcW w:w="2158" w:type="dxa"/>
            <w:shd w:val="clear" w:color="auto" w:fill="auto"/>
          </w:tcPr>
          <w:p w:rsidR="0064415B" w:rsidRDefault="0064415B">
            <w:pPr>
              <w:spacing w:after="0" w:line="240" w:lineRule="auto"/>
              <w:jc w:val="center"/>
            </w:pPr>
          </w:p>
        </w:tc>
        <w:tc>
          <w:tcPr>
            <w:tcW w:w="2158" w:type="dxa"/>
            <w:gridSpan w:val="2"/>
            <w:shd w:val="clear" w:color="auto" w:fill="auto"/>
          </w:tcPr>
          <w:p w:rsidR="0064415B" w:rsidRDefault="0064415B">
            <w:pPr>
              <w:spacing w:after="0" w:line="240" w:lineRule="auto"/>
              <w:jc w:val="center"/>
            </w:pPr>
          </w:p>
        </w:tc>
        <w:tc>
          <w:tcPr>
            <w:tcW w:w="2157" w:type="dxa"/>
            <w:tcBorders>
              <w:bottom w:val="single" w:sz="4" w:space="0" w:color="00000A"/>
            </w:tcBorders>
            <w:shd w:val="clear" w:color="auto" w:fill="auto"/>
          </w:tcPr>
          <w:p w:rsidR="0064415B" w:rsidRDefault="0064415B">
            <w:pPr>
              <w:spacing w:after="0" w:line="240" w:lineRule="auto"/>
              <w:jc w:val="center"/>
            </w:pPr>
          </w:p>
        </w:tc>
        <w:tc>
          <w:tcPr>
            <w:tcW w:w="2280" w:type="dxa"/>
            <w:shd w:val="clear" w:color="auto" w:fill="auto"/>
          </w:tcPr>
          <w:p w:rsidR="0064415B" w:rsidRDefault="0064415B">
            <w:pPr>
              <w:spacing w:after="0" w:line="240" w:lineRule="auto"/>
              <w:jc w:val="center"/>
            </w:pPr>
          </w:p>
        </w:tc>
      </w:tr>
      <w:tr w:rsidR="0064415B">
        <w:tc>
          <w:tcPr>
            <w:tcW w:w="6473" w:type="dxa"/>
            <w:gridSpan w:val="3"/>
            <w:shd w:val="clear" w:color="auto" w:fill="auto"/>
          </w:tcPr>
          <w:p w:rsidR="0064415B" w:rsidRPr="00F63433" w:rsidRDefault="0064415B">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64415B" w:rsidRPr="00F63433" w:rsidRDefault="00F63433">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64415B">
        <w:trPr>
          <w:trHeight w:val="1383"/>
        </w:trPr>
        <w:tc>
          <w:tcPr>
            <w:tcW w:w="13068" w:type="dxa"/>
            <w:gridSpan w:val="7"/>
            <w:shd w:val="clear" w:color="auto" w:fill="auto"/>
          </w:tcPr>
          <w:p w:rsidR="0064415B" w:rsidRDefault="0064415B">
            <w:pPr>
              <w:spacing w:after="0" w:line="240" w:lineRule="auto"/>
            </w:pPr>
          </w:p>
        </w:tc>
      </w:tr>
      <w:tr w:rsidR="0064415B">
        <w:tc>
          <w:tcPr>
            <w:tcW w:w="6592" w:type="dxa"/>
            <w:gridSpan w:val="4"/>
            <w:shd w:val="clear" w:color="auto" w:fill="auto"/>
          </w:tcPr>
          <w:p w:rsidR="0064415B" w:rsidRDefault="000151A3">
            <w:pPr>
              <w:spacing w:after="0" w:line="240" w:lineRule="auto"/>
            </w:pPr>
            <w:r>
              <w:rPr>
                <w:rFonts w:ascii="Times New Roman" w:hAnsi="Times New Roman" w:cs="Times New Roman"/>
              </w:rPr>
              <w:t xml:space="preserve">Коначан ревизорски </w:t>
            </w:r>
            <w:r>
              <w:rPr>
                <w:rFonts w:ascii="Times New Roman" w:hAnsi="Times New Roman" w:cs="Times New Roman"/>
              </w:rPr>
              <w:t xml:space="preserve">извјештај је достављен: </w:t>
            </w:r>
          </w:p>
        </w:tc>
        <w:tc>
          <w:tcPr>
            <w:tcW w:w="6476" w:type="dxa"/>
            <w:gridSpan w:val="3"/>
            <w:shd w:val="clear" w:color="auto" w:fill="auto"/>
          </w:tcPr>
          <w:p w:rsidR="0064415B" w:rsidRDefault="0064415B">
            <w:pPr>
              <w:spacing w:after="0" w:line="240" w:lineRule="auto"/>
            </w:pPr>
          </w:p>
        </w:tc>
      </w:tr>
      <w:tr w:rsidR="0064415B">
        <w:trPr>
          <w:trHeight w:val="960"/>
        </w:trPr>
        <w:tc>
          <w:tcPr>
            <w:tcW w:w="13068" w:type="dxa"/>
            <w:gridSpan w:val="7"/>
            <w:shd w:val="clear" w:color="auto" w:fill="auto"/>
          </w:tcPr>
          <w:p w:rsidR="0064415B" w:rsidRDefault="000151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локални економски развој и друштвене  дјелатности</w:t>
            </w:r>
          </w:p>
          <w:p w:rsidR="0064415B" w:rsidRDefault="000151A3">
            <w:pPr>
              <w:spacing w:after="0" w:line="240" w:lineRule="auto"/>
              <w:rPr>
                <w:rFonts w:ascii="Times New Roman" w:hAnsi="Times New Roman" w:cs="Times New Roman"/>
              </w:rPr>
            </w:pPr>
            <w:r>
              <w:rPr>
                <w:rFonts w:ascii="Times New Roman" w:hAnsi="Times New Roman" w:cs="Times New Roman"/>
              </w:rPr>
              <w:t>Руководилац субјекта,</w:t>
            </w:r>
          </w:p>
          <w:p w:rsidR="0064415B" w:rsidRDefault="000151A3">
            <w:pPr>
              <w:spacing w:after="0" w:line="240" w:lineRule="auto"/>
              <w:rPr>
                <w:rFonts w:ascii="Times New Roman" w:hAnsi="Times New Roman" w:cs="Times New Roman"/>
              </w:rPr>
            </w:pPr>
            <w:r>
              <w:rPr>
                <w:rFonts w:ascii="Times New Roman" w:hAnsi="Times New Roman" w:cs="Times New Roman"/>
              </w:rPr>
              <w:t>а/а</w:t>
            </w:r>
          </w:p>
        </w:tc>
      </w:tr>
    </w:tbl>
    <w:p w:rsidR="0064415B" w:rsidRDefault="0064415B"/>
    <w:sectPr w:rsidR="0064415B" w:rsidSect="0064415B">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1A3" w:rsidRDefault="000151A3" w:rsidP="0064415B">
      <w:pPr>
        <w:spacing w:after="0" w:line="240" w:lineRule="auto"/>
      </w:pPr>
      <w:r>
        <w:separator/>
      </w:r>
    </w:p>
  </w:endnote>
  <w:endnote w:type="continuationSeparator" w:id="1">
    <w:p w:rsidR="000151A3" w:rsidRDefault="000151A3" w:rsidP="00644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1A3" w:rsidRDefault="000151A3" w:rsidP="0064415B">
      <w:pPr>
        <w:spacing w:after="0" w:line="240" w:lineRule="auto"/>
      </w:pPr>
      <w:r>
        <w:separator/>
      </w:r>
    </w:p>
  </w:footnote>
  <w:footnote w:type="continuationSeparator" w:id="1">
    <w:p w:rsidR="000151A3" w:rsidRDefault="000151A3" w:rsidP="00644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64415B">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64415B" w:rsidRDefault="000151A3">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64415B">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64415B" w:rsidRDefault="000151A3">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64415B" w:rsidRDefault="006441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746C"/>
    <w:multiLevelType w:val="multilevel"/>
    <w:tmpl w:val="848684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31832DD2"/>
    <w:multiLevelType w:val="multilevel"/>
    <w:tmpl w:val="0DC49B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415B"/>
    <w:rsid w:val="000151A3"/>
    <w:rsid w:val="00297505"/>
    <w:rsid w:val="0064415B"/>
    <w:rsid w:val="006D1262"/>
    <w:rsid w:val="00A93EAF"/>
    <w:rsid w:val="00AA7354"/>
    <w:rsid w:val="00C32ACC"/>
    <w:rsid w:val="00F6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15B"/>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64415B"/>
  </w:style>
  <w:style w:type="character" w:customStyle="1" w:styleId="FooterChar">
    <w:name w:val="Footer Char"/>
    <w:basedOn w:val="DefaultParagraphFont"/>
    <w:qFormat/>
    <w:rsid w:val="0064415B"/>
  </w:style>
  <w:style w:type="character" w:styleId="CommentReference">
    <w:name w:val="annotation reference"/>
    <w:basedOn w:val="DefaultParagraphFont"/>
    <w:qFormat/>
    <w:rsid w:val="0064415B"/>
    <w:rPr>
      <w:sz w:val="16"/>
      <w:szCs w:val="16"/>
    </w:rPr>
  </w:style>
  <w:style w:type="character" w:customStyle="1" w:styleId="CommentTextChar">
    <w:name w:val="Comment Text Char"/>
    <w:basedOn w:val="DefaultParagraphFont"/>
    <w:qFormat/>
    <w:rsid w:val="0064415B"/>
    <w:rPr>
      <w:sz w:val="20"/>
      <w:szCs w:val="20"/>
    </w:rPr>
  </w:style>
  <w:style w:type="character" w:customStyle="1" w:styleId="CommentSubjectChar">
    <w:name w:val="Comment Subject Char"/>
    <w:basedOn w:val="CommentTextChar"/>
    <w:qFormat/>
    <w:rsid w:val="0064415B"/>
    <w:rPr>
      <w:b/>
      <w:bCs/>
      <w:sz w:val="20"/>
      <w:szCs w:val="20"/>
    </w:rPr>
  </w:style>
  <w:style w:type="character" w:customStyle="1" w:styleId="BalloonTextChar">
    <w:name w:val="Balloon Text Char"/>
    <w:basedOn w:val="DefaultParagraphFont"/>
    <w:qFormat/>
    <w:rsid w:val="0064415B"/>
    <w:rPr>
      <w:rFonts w:ascii="Segoe UI" w:hAnsi="Segoe UI" w:cs="Segoe UI"/>
      <w:sz w:val="18"/>
      <w:szCs w:val="18"/>
    </w:rPr>
  </w:style>
  <w:style w:type="paragraph" w:customStyle="1" w:styleId="Heading">
    <w:name w:val="Heading"/>
    <w:basedOn w:val="Normal"/>
    <w:next w:val="TextBody"/>
    <w:qFormat/>
    <w:rsid w:val="0064415B"/>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64415B"/>
    <w:pPr>
      <w:spacing w:after="140" w:line="288" w:lineRule="auto"/>
    </w:pPr>
  </w:style>
  <w:style w:type="paragraph" w:styleId="List">
    <w:name w:val="List"/>
    <w:basedOn w:val="TextBody"/>
    <w:rsid w:val="0064415B"/>
  </w:style>
  <w:style w:type="paragraph" w:styleId="Caption">
    <w:name w:val="caption"/>
    <w:basedOn w:val="Normal"/>
    <w:qFormat/>
    <w:rsid w:val="0064415B"/>
    <w:pPr>
      <w:suppressLineNumbers/>
      <w:spacing w:before="120" w:after="120"/>
    </w:pPr>
    <w:rPr>
      <w:i/>
      <w:iCs/>
      <w:sz w:val="24"/>
      <w:szCs w:val="24"/>
    </w:rPr>
  </w:style>
  <w:style w:type="paragraph" w:customStyle="1" w:styleId="Index">
    <w:name w:val="Index"/>
    <w:basedOn w:val="Normal"/>
    <w:qFormat/>
    <w:rsid w:val="0064415B"/>
    <w:pPr>
      <w:suppressLineNumbers/>
    </w:pPr>
  </w:style>
  <w:style w:type="paragraph" w:styleId="Header">
    <w:name w:val="header"/>
    <w:basedOn w:val="Normal"/>
    <w:rsid w:val="0064415B"/>
    <w:pPr>
      <w:tabs>
        <w:tab w:val="center" w:pos="4680"/>
        <w:tab w:val="right" w:pos="9360"/>
      </w:tabs>
      <w:spacing w:after="0" w:line="240" w:lineRule="auto"/>
    </w:pPr>
  </w:style>
  <w:style w:type="paragraph" w:styleId="Footer">
    <w:name w:val="footer"/>
    <w:basedOn w:val="Normal"/>
    <w:rsid w:val="0064415B"/>
    <w:pPr>
      <w:tabs>
        <w:tab w:val="center" w:pos="4680"/>
        <w:tab w:val="right" w:pos="9360"/>
      </w:tabs>
      <w:spacing w:after="0" w:line="240" w:lineRule="auto"/>
    </w:pPr>
  </w:style>
  <w:style w:type="paragraph" w:styleId="CommentText">
    <w:name w:val="annotation text"/>
    <w:basedOn w:val="Normal"/>
    <w:qFormat/>
    <w:rsid w:val="0064415B"/>
    <w:pPr>
      <w:spacing w:line="240" w:lineRule="auto"/>
    </w:pPr>
    <w:rPr>
      <w:sz w:val="20"/>
      <w:szCs w:val="20"/>
    </w:rPr>
  </w:style>
  <w:style w:type="paragraph" w:styleId="CommentSubject">
    <w:name w:val="annotation subject"/>
    <w:basedOn w:val="CommentText"/>
    <w:qFormat/>
    <w:rsid w:val="0064415B"/>
    <w:rPr>
      <w:b/>
      <w:bCs/>
    </w:rPr>
  </w:style>
  <w:style w:type="paragraph" w:styleId="BalloonText">
    <w:name w:val="Balloon Text"/>
    <w:basedOn w:val="Normal"/>
    <w:qFormat/>
    <w:rsid w:val="0064415B"/>
    <w:pPr>
      <w:spacing w:after="0" w:line="240" w:lineRule="auto"/>
    </w:pPr>
    <w:rPr>
      <w:rFonts w:ascii="Segoe UI" w:hAnsi="Segoe UI" w:cs="Segoe UI"/>
      <w:sz w:val="18"/>
      <w:szCs w:val="18"/>
    </w:rPr>
  </w:style>
  <w:style w:type="paragraph" w:styleId="ListParagraph">
    <w:name w:val="List Paragraph"/>
    <w:basedOn w:val="Normal"/>
    <w:qFormat/>
    <w:rsid w:val="0064415B"/>
    <w:pPr>
      <w:ind w:left="720"/>
      <w:contextualSpacing/>
    </w:pPr>
  </w:style>
  <w:style w:type="paragraph" w:customStyle="1" w:styleId="TableContents">
    <w:name w:val="Table Contents"/>
    <w:basedOn w:val="Normal"/>
    <w:qFormat/>
    <w:rsid w:val="006441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98</cp:revision>
  <dcterms:created xsi:type="dcterms:W3CDTF">2021-08-16T14:03:00Z</dcterms:created>
  <dcterms:modified xsi:type="dcterms:W3CDTF">2025-07-18T06:39:00Z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