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A6" w:rsidRDefault="00055F15">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DE26A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Ревизија провођења поступка јавне набавке путем директног споразума у Одсјеку за јавне набавке, правна питања и прописе </w:t>
            </w:r>
          </w:p>
        </w:tc>
      </w:tr>
      <w:tr w:rsidR="00DE26A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30521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28/07/2025 - 01/09</w:t>
            </w:r>
            <w:r w:rsidR="00055F15">
              <w:rPr>
                <w:rFonts w:ascii="Times New Roman" w:eastAsia="Times New Roman" w:hAnsi="Times New Roman" w:cs="Times New Roman"/>
                <w:color w:val="000000"/>
                <w:sz w:val="20"/>
                <w:szCs w:val="20"/>
              </w:rPr>
              <w:t>/2025</w:t>
            </w:r>
          </w:p>
        </w:tc>
      </w:tr>
      <w:tr w:rsidR="00DE26A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hAnsi="Times New Roman" w:cs="Times New Roman"/>
                <w:sz w:val="20"/>
                <w:szCs w:val="20"/>
              </w:rPr>
            </w:pPr>
            <w:r>
              <w:rPr>
                <w:rFonts w:ascii="Times New Roman" w:hAnsi="Times New Roman" w:cs="Times New Roman"/>
                <w:sz w:val="20"/>
                <w:szCs w:val="20"/>
              </w:rPr>
              <w:t>13-014-214/25</w:t>
            </w:r>
          </w:p>
        </w:tc>
      </w:tr>
      <w:tr w:rsidR="00DE26A6">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Одсјек за јавне набавке, правна питања и прописе</w:t>
            </w:r>
          </w:p>
        </w:tc>
      </w:tr>
      <w:tr w:rsidR="00DE26A6">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DE26A6">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DE26A6">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DE26A6">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pStyle w:val="CommentText"/>
            </w:pPr>
            <w:r>
              <w:rPr>
                <w:rFonts w:ascii="Times New Roman" w:hAnsi="Times New Roman" w:cs="Times New Roman"/>
                <w:b/>
                <w:bCs/>
              </w:rPr>
              <w:t xml:space="preserve">Слободан текст </w:t>
            </w:r>
            <w:r>
              <w:rPr>
                <w:rFonts w:ascii="Times New Roman" w:hAnsi="Times New Roman" w:cs="Times New Roman"/>
              </w:rPr>
              <w:t xml:space="preserve">(навести  </w:t>
            </w:r>
            <w:r>
              <w:rPr>
                <w:rFonts w:ascii="Times New Roman" w:hAnsi="Times New Roman" w:cs="Times New Roman"/>
              </w:rPr>
              <w:t>кратак опис циљева и обима ревизије, нај</w:t>
            </w:r>
            <w:r w:rsidR="0030521A">
              <w:rPr>
                <w:rFonts w:ascii="Times New Roman" w:hAnsi="Times New Roman" w:cs="Times New Roman"/>
              </w:rPr>
              <w:t xml:space="preserve">значајнијих налаза ревизије и </w:t>
            </w:r>
            <w:r w:rsidR="0030521A">
              <w:rPr>
                <w:rFonts w:ascii="Times New Roman" w:hAnsi="Times New Roman" w:cs="Times New Roman"/>
                <w:lang w:val="sr-Cyrl-BA"/>
              </w:rPr>
              <w:t>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color w:val="000000"/>
                <w:sz w:val="20"/>
                <w:szCs w:val="20"/>
              </w:rPr>
              <w:t> Унутар Одсјека за јавне набавке, правна питања и прописе у току године највише се склопи директних споразума, а циљ ове интерне ревизије је да се испита начин пров</w:t>
            </w:r>
            <w:r>
              <w:rPr>
                <w:rFonts w:ascii="Times New Roman" w:eastAsia="Times New Roman" w:hAnsi="Times New Roman" w:cs="Times New Roman"/>
                <w:color w:val="000000"/>
                <w:sz w:val="20"/>
                <w:szCs w:val="20"/>
              </w:rPr>
              <w:t>ођења директних споразума.</w:t>
            </w:r>
          </w:p>
        </w:tc>
      </w:tr>
      <w:tr w:rsidR="00DE26A6">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DE26A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0"/>
                <w:szCs w:val="20"/>
              </w:rPr>
            </w:pPr>
          </w:p>
        </w:tc>
      </w:tr>
      <w:tr w:rsidR="00DE26A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0"/>
                <w:szCs w:val="20"/>
              </w:rPr>
            </w:pPr>
          </w:p>
        </w:tc>
      </w:tr>
      <w:tr w:rsidR="00DE26A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Осигурати да је директни споразум проведен за процијењену вриједност која није већа од 6.000,00 КМ без ПДВ-а.</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Осигурати да је извршено </w:t>
            </w:r>
            <w:r>
              <w:rPr>
                <w:rFonts w:ascii="Times New Roman" w:eastAsia="Times New Roman" w:hAnsi="Times New Roman" w:cs="Times New Roman"/>
                <w:color w:val="000000"/>
                <w:sz w:val="20"/>
                <w:szCs w:val="20"/>
              </w:rPr>
              <w:t>испитивање тржишта прије покретања директног споразума.</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Осигурати да су реализовани директни споразуми постављени на Портал јавних набавки.</w:t>
            </w:r>
          </w:p>
          <w:p w:rsidR="00DE26A6" w:rsidRPr="00770AF6" w:rsidRDefault="00055F15">
            <w:pPr>
              <w:spacing w:after="0" w:line="240" w:lineRule="auto"/>
              <w:rPr>
                <w:rFonts w:ascii="Times New Roman" w:eastAsia="Times New Roman" w:hAnsi="Times New Roman" w:cs="Times New Roman"/>
                <w:color w:val="000000"/>
                <w:sz w:val="20"/>
                <w:szCs w:val="20"/>
                <w:lang w:val="sr-Cyrl-BA"/>
              </w:rPr>
            </w:pPr>
            <w:r>
              <w:rPr>
                <w:rFonts w:ascii="Times New Roman" w:eastAsia="Times New Roman" w:hAnsi="Times New Roman" w:cs="Times New Roman"/>
                <w:color w:val="000000"/>
                <w:sz w:val="20"/>
                <w:szCs w:val="20"/>
              </w:rPr>
              <w:t>4. Осигурати да се избјегава могућност достављања плаћања роба, услуга, радова добављачима по нереално високим ци</w:t>
            </w:r>
            <w:r>
              <w:rPr>
                <w:rFonts w:ascii="Times New Roman" w:eastAsia="Times New Roman" w:hAnsi="Times New Roman" w:cs="Times New Roman"/>
                <w:color w:val="000000"/>
                <w:sz w:val="20"/>
                <w:szCs w:val="20"/>
              </w:rPr>
              <w:t>јенама.</w:t>
            </w: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DE26A6" w:rsidRDefault="00055F15">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Закон о јавним набавкама („Службени гласник БиХ“ број 39/14, 59/22 и 50/24), </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Правилник о јавним набавкама у Граду Прњавор („Службени гласник града Прњавор“ број 21/23),</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- 25 реализованих директних споразума из </w:t>
            </w:r>
            <w:r>
              <w:rPr>
                <w:rFonts w:ascii="Times New Roman" w:eastAsia="Times New Roman" w:hAnsi="Times New Roman" w:cs="Times New Roman"/>
                <w:color w:val="000000"/>
                <w:sz w:val="20"/>
                <w:szCs w:val="20"/>
              </w:rPr>
              <w:t>прве половине 2025. године</w:t>
            </w: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color w:val="000000"/>
                <w:sz w:val="20"/>
                <w:szCs w:val="20"/>
              </w:rPr>
              <w:t> Директни споразум је поступак у којем градска управа тражи приједлог цијене од једног или више понуђача и преговара или прихвата ту цијену. Градска управа бира понуђача на начин</w:t>
            </w:r>
            <w:r>
              <w:rPr>
                <w:rFonts w:ascii="Times New Roman" w:eastAsia="Times New Roman" w:hAnsi="Times New Roman" w:cs="Times New Roman"/>
                <w:color w:val="000000"/>
                <w:sz w:val="20"/>
                <w:szCs w:val="20"/>
              </w:rPr>
              <w:t xml:space="preserve"> који гарантује најбољу размјену вриједности за новац.</w:t>
            </w:r>
          </w:p>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Поступак директног споразума се може провести када процијењена вриједност за набавку роба, пружање услуга или извођење радова није већа од 6.000,00 КМ без ПДВ-а, при чему ни укупна процијењена вриједно</w:t>
            </w:r>
            <w:r>
              <w:rPr>
                <w:rFonts w:ascii="Times New Roman" w:eastAsia="Times New Roman" w:hAnsi="Times New Roman" w:cs="Times New Roman"/>
                <w:color w:val="000000"/>
                <w:sz w:val="20"/>
                <w:szCs w:val="20"/>
              </w:rPr>
              <w:t>ст истоврсних набавки на годишњем нивоу није већа од 10.000,00 КМ без ПДВ-а.</w:t>
            </w: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pStyle w:val="CommentText"/>
            </w:pPr>
            <w:r>
              <w:rPr>
                <w:rFonts w:ascii="Times New Roman" w:eastAsia="Times New Roman" w:hAnsi="Times New Roman" w:cs="Times New Roman"/>
                <w:b/>
                <w:bCs/>
                <w:color w:val="000000"/>
              </w:rPr>
              <w:t>1.6. Позитивни налази</w:t>
            </w:r>
            <w:r>
              <w:rPr>
                <w:rFonts w:ascii="Times New Roman" w:eastAsia="Times New Roman" w:hAnsi="Times New Roman" w:cs="Times New Roman"/>
                <w:color w:val="000000"/>
              </w:rPr>
              <w:t>:</w:t>
            </w:r>
          </w:p>
          <w:p w:rsidR="00DE26A6" w:rsidRDefault="00DE26A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color w:val="000000"/>
                <w:sz w:val="20"/>
                <w:szCs w:val="20"/>
              </w:rPr>
              <w:t xml:space="preserve"> Сви прегледани директни споразуми су били процијењене вриједности до 6.000,00 КМ без ПДВ-а уз обавезно испитивање тржишта и провођења поступка преко </w:t>
            </w:r>
            <w:r>
              <w:rPr>
                <w:rFonts w:ascii="Times New Roman" w:eastAsia="Times New Roman" w:hAnsi="Times New Roman" w:cs="Times New Roman"/>
                <w:color w:val="000000"/>
                <w:sz w:val="20"/>
                <w:szCs w:val="20"/>
              </w:rPr>
              <w:t>Портала јавних набавки.</w:t>
            </w: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0"/>
                <w:szCs w:val="20"/>
              </w:rPr>
            </w:pP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0"/>
                <w:szCs w:val="20"/>
              </w:rPr>
            </w:pPr>
          </w:p>
        </w:tc>
      </w:tr>
      <w:tr w:rsidR="00DE26A6">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0"/>
                <w:szCs w:val="20"/>
              </w:rPr>
            </w:pPr>
          </w:p>
        </w:tc>
      </w:tr>
      <w:tr w:rsidR="00DE26A6">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DE26A6" w:rsidRDefault="00055F15">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jc w:val="both"/>
              <w:rPr>
                <w:rFonts w:ascii="Times New Roman" w:eastAsia="Times New Roman" w:hAnsi="Times New Roman" w:cs="Times New Roman"/>
                <w:color w:val="000000"/>
                <w:sz w:val="24"/>
                <w:szCs w:val="24"/>
              </w:rPr>
            </w:pPr>
          </w:p>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је директни споразум проведен за </w:t>
            </w:r>
            <w:r>
              <w:rPr>
                <w:rFonts w:ascii="Times New Roman" w:eastAsia="Times New Roman" w:hAnsi="Times New Roman" w:cs="Times New Roman"/>
                <w:color w:val="000000"/>
                <w:sz w:val="20"/>
                <w:szCs w:val="20"/>
              </w:rPr>
              <w:t>процијењену вриједност која није већа од 6.000,00 КМ без ПДВ-а.</w:t>
            </w:r>
          </w:p>
        </w:tc>
      </w:tr>
      <w:tr w:rsidR="00DE26A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Чланом 87. став</w:t>
            </w:r>
            <w:r>
              <w:rPr>
                <w:rFonts w:ascii="Times New Roman" w:eastAsia="Times New Roman" w:hAnsi="Times New Roman" w:cs="Times New Roman"/>
                <w:color w:val="000000"/>
                <w:sz w:val="20"/>
                <w:szCs w:val="20"/>
              </w:rPr>
              <w:t xml:space="preserve"> (3) Закона о јавним набавкама одређено је да уговорни орган проводи поступак директног споразума за набавку робе, услуга или радова чија је процијењена вриједност једнака или мања од износа од 6.000,00 КМ, при чему ни укупна процијењена вриједност истоврс</w:t>
            </w:r>
            <w:r>
              <w:rPr>
                <w:rFonts w:ascii="Times New Roman" w:eastAsia="Times New Roman" w:hAnsi="Times New Roman" w:cs="Times New Roman"/>
                <w:color w:val="000000"/>
                <w:sz w:val="20"/>
                <w:szCs w:val="20"/>
              </w:rPr>
              <w:t xml:space="preserve">них набавки на годишњем нивоу није већа од 10.000,00 КМ. Тумачeњем наведеног члана, поступак директног споразума се покреће за вриједност појединачне набавке која није већа од 6.000,00 КМ, а набавка истоврсних набавки се може извршити путем више директних </w:t>
            </w:r>
            <w:r>
              <w:rPr>
                <w:rFonts w:ascii="Times New Roman" w:eastAsia="Times New Roman" w:hAnsi="Times New Roman" w:cs="Times New Roman"/>
                <w:color w:val="000000"/>
                <w:sz w:val="20"/>
                <w:szCs w:val="20"/>
              </w:rPr>
              <w:t xml:space="preserve">споразума с тим да збир више директних споразума за истоврсне набавке не смије прећи износ од 10.000,00 КМ на </w:t>
            </w:r>
            <w:r>
              <w:rPr>
                <w:rFonts w:ascii="Times New Roman" w:eastAsia="Times New Roman" w:hAnsi="Times New Roman" w:cs="Times New Roman"/>
                <w:color w:val="000000"/>
                <w:sz w:val="20"/>
                <w:szCs w:val="20"/>
              </w:rPr>
              <w:lastRenderedPageBreak/>
              <w:t>годишњем нивоу. У ревидираном узорку од 25 случајно одабрaних директних споразума из прве половине 2025. године уочено је да је процијењена вријед</w:t>
            </w:r>
            <w:r>
              <w:rPr>
                <w:rFonts w:ascii="Times New Roman" w:eastAsia="Times New Roman" w:hAnsi="Times New Roman" w:cs="Times New Roman"/>
                <w:color w:val="000000"/>
                <w:sz w:val="20"/>
                <w:szCs w:val="20"/>
              </w:rPr>
              <w:t>ност набавке директног споразума била једнака или мања од 6.000,00 КМ без ПДВ-а, а што је у складу са наведеним чланом. Уколико би процијењена вриједност набавке била нпр. 8.000,00 КМ морао би се провести поступак конкурентског захтјева за достављање понуд</w:t>
            </w:r>
            <w:r>
              <w:rPr>
                <w:rFonts w:ascii="Times New Roman" w:eastAsia="Times New Roman" w:hAnsi="Times New Roman" w:cs="Times New Roman"/>
                <w:color w:val="000000"/>
                <w:sz w:val="20"/>
                <w:szCs w:val="20"/>
              </w:rPr>
              <w:t>а јер вриједност из наведеног примјера одговара том поступку, а не бисмо се могли позвати на набавку истоврсних набавки путем директног споразума до износа од 10.000,00 КМ јер се исто може користити када се услијед објективних и непредвиђених околности дес</w:t>
            </w:r>
            <w:r>
              <w:rPr>
                <w:rFonts w:ascii="Times New Roman" w:eastAsia="Times New Roman" w:hAnsi="Times New Roman" w:cs="Times New Roman"/>
                <w:color w:val="000000"/>
                <w:sz w:val="20"/>
                <w:szCs w:val="20"/>
              </w:rPr>
              <w:t>и да је током године дошло до потребе за већом количином истоврсних набавки или је дошло до повећања цијене па је раније потрошена планирана вриједност.</w:t>
            </w:r>
          </w:p>
        </w:tc>
      </w:tr>
      <w:tr w:rsidR="00DE26A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725D84">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725D84">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је извршено </w:t>
            </w:r>
            <w:r>
              <w:rPr>
                <w:rFonts w:ascii="Times New Roman" w:eastAsia="Times New Roman" w:hAnsi="Times New Roman" w:cs="Times New Roman"/>
                <w:color w:val="000000"/>
                <w:sz w:val="20"/>
                <w:szCs w:val="20"/>
              </w:rPr>
              <w:t>испитивање тржишта прије покретања директног споразума.</w:t>
            </w:r>
          </w:p>
        </w:tc>
      </w:tr>
      <w:tr w:rsidR="00DE26A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 У свим предметима </w:t>
            </w:r>
            <w:r>
              <w:rPr>
                <w:rFonts w:ascii="Times New Roman" w:eastAsia="Times New Roman" w:hAnsi="Times New Roman" w:cs="Times New Roman"/>
                <w:color w:val="000000"/>
                <w:sz w:val="20"/>
                <w:szCs w:val="20"/>
              </w:rPr>
              <w:t xml:space="preserve">ревидираног узорка од 25 случајно одабраних  директних споразума из прве половине 2025. године налази се службена забиљешка о испитивању тржишта које је проведено прије склапања споразума изузев у једном случају гдје за тим није било потребе јер се ради о </w:t>
            </w:r>
            <w:r>
              <w:rPr>
                <w:rFonts w:ascii="Times New Roman" w:eastAsia="Times New Roman" w:hAnsi="Times New Roman" w:cs="Times New Roman"/>
                <w:color w:val="000000"/>
                <w:sz w:val="20"/>
                <w:szCs w:val="20"/>
              </w:rPr>
              <w:t>једином постојећем понуђачу (ЈУ Пољопривредни институт РС).</w:t>
            </w:r>
          </w:p>
        </w:tc>
      </w:tr>
      <w:tr w:rsidR="00DE26A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Препоруке </w:t>
            </w:r>
            <w:r w:rsidR="006A76F3">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6A76F3">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су реализовани директни споразуми постављени на Портал јавних набавки.</w:t>
            </w:r>
          </w:p>
        </w:tc>
      </w:tr>
      <w:tr w:rsidR="00DE26A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w:t>
            </w:r>
            <w:r>
              <w:rPr>
                <w:rFonts w:ascii="Times New Roman" w:eastAsia="Times New Roman" w:hAnsi="Times New Roman" w:cs="Times New Roman"/>
                <w:color w:val="000000"/>
                <w:sz w:val="20"/>
                <w:szCs w:val="20"/>
              </w:rPr>
              <w:t>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 На основу члана 21. Правилника о јавним набавкама одсјек подноси и објављује Извјештај о проведеном поступку директн</w:t>
            </w:r>
            <w:r>
              <w:rPr>
                <w:rFonts w:ascii="Times New Roman" w:eastAsia="Times New Roman" w:hAnsi="Times New Roman" w:cs="Times New Roman"/>
                <w:color w:val="000000"/>
                <w:sz w:val="20"/>
                <w:szCs w:val="20"/>
              </w:rPr>
              <w:t>ог споразума на Порталу јавних набавки. У свим предметима ревидираног узорка од 25 случајно одабраних директних споразума из прве половине 2025. године затечен је наведени извјештај, односно сви наведени директни споразуми су постављени на Портал јавних на</w:t>
            </w:r>
            <w:r>
              <w:rPr>
                <w:rFonts w:ascii="Times New Roman" w:eastAsia="Times New Roman" w:hAnsi="Times New Roman" w:cs="Times New Roman"/>
                <w:color w:val="000000"/>
                <w:sz w:val="20"/>
                <w:szCs w:val="20"/>
              </w:rPr>
              <w:t>бавки.</w:t>
            </w:r>
          </w:p>
        </w:tc>
      </w:tr>
      <w:tr w:rsidR="00DE26A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143D5F">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143D5F">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избјегава могућност достављања плаћања роба, услуга, радова добављачима по нереално високим цијенама.</w:t>
            </w:r>
          </w:p>
        </w:tc>
      </w:tr>
      <w:tr w:rsidR="00DE26A6">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 xml:space="preserve">(постојеће стање, очекивано стање, </w:t>
            </w:r>
            <w:r>
              <w:rPr>
                <w:rFonts w:ascii="Times New Roman" w:eastAsia="Times New Roman" w:hAnsi="Times New Roman" w:cs="Times New Roman"/>
                <w:color w:val="000000"/>
                <w:sz w:val="20"/>
                <w:szCs w:val="20"/>
              </w:rPr>
              <w:t>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 Прије покретања поступка врши се испитивање тржишта и провјеравају се цијене из претходних година како би се избјегла могућност плаћа</w:t>
            </w:r>
            <w:r>
              <w:rPr>
                <w:rFonts w:ascii="Times New Roman" w:eastAsia="Times New Roman" w:hAnsi="Times New Roman" w:cs="Times New Roman"/>
                <w:color w:val="000000"/>
                <w:sz w:val="20"/>
                <w:szCs w:val="20"/>
              </w:rPr>
              <w:t>ња добављачу по нереално високим цијенама.</w:t>
            </w:r>
          </w:p>
        </w:tc>
      </w:tr>
      <w:tr w:rsidR="00DE26A6">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 xml:space="preserve">Препоруке </w:t>
            </w:r>
            <w:r w:rsidR="00143D5F">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143D5F">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055F1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tc>
      </w:tr>
      <w:tr w:rsidR="00DE26A6">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DE26A6" w:rsidRDefault="00055F1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DE26A6">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4"/>
                <w:szCs w:val="24"/>
              </w:rPr>
            </w:pPr>
          </w:p>
        </w:tc>
      </w:tr>
      <w:tr w:rsidR="00DE26A6">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DE26A6" w:rsidRDefault="00DE26A6">
            <w:pPr>
              <w:spacing w:after="0" w:line="240" w:lineRule="auto"/>
              <w:rPr>
                <w:rFonts w:ascii="Times New Roman" w:eastAsia="Times New Roman" w:hAnsi="Times New Roman" w:cs="Times New Roman"/>
                <w:color w:val="000000"/>
                <w:sz w:val="24"/>
                <w:szCs w:val="24"/>
              </w:rPr>
            </w:pPr>
          </w:p>
        </w:tc>
      </w:tr>
    </w:tbl>
    <w:p w:rsidR="00DE26A6" w:rsidRDefault="00DE26A6"/>
    <w:p w:rsidR="00DE26A6" w:rsidRDefault="00DE26A6"/>
    <w:tbl>
      <w:tblPr>
        <w:tblW w:w="13068" w:type="dxa"/>
        <w:tblLook w:val="0000"/>
      </w:tblPr>
      <w:tblGrid>
        <w:gridCol w:w="2157"/>
        <w:gridCol w:w="2158"/>
        <w:gridCol w:w="2158"/>
        <w:gridCol w:w="119"/>
        <w:gridCol w:w="2039"/>
        <w:gridCol w:w="2157"/>
        <w:gridCol w:w="2280"/>
      </w:tblGrid>
      <w:tr w:rsidR="00DE26A6">
        <w:tc>
          <w:tcPr>
            <w:tcW w:w="2157" w:type="dxa"/>
            <w:shd w:val="clear" w:color="auto" w:fill="auto"/>
          </w:tcPr>
          <w:p w:rsidR="00DE26A6" w:rsidRDefault="00DE26A6">
            <w:pPr>
              <w:spacing w:after="0" w:line="240" w:lineRule="auto"/>
              <w:jc w:val="center"/>
            </w:pPr>
          </w:p>
        </w:tc>
        <w:tc>
          <w:tcPr>
            <w:tcW w:w="2158" w:type="dxa"/>
            <w:tcBorders>
              <w:bottom w:val="single" w:sz="4" w:space="0" w:color="00000A"/>
            </w:tcBorders>
            <w:shd w:val="clear" w:color="auto" w:fill="auto"/>
          </w:tcPr>
          <w:p w:rsidR="00DE26A6" w:rsidRDefault="00DE26A6">
            <w:pPr>
              <w:spacing w:after="0" w:line="240" w:lineRule="auto"/>
              <w:jc w:val="center"/>
            </w:pPr>
          </w:p>
        </w:tc>
        <w:tc>
          <w:tcPr>
            <w:tcW w:w="2158" w:type="dxa"/>
            <w:shd w:val="clear" w:color="auto" w:fill="auto"/>
          </w:tcPr>
          <w:p w:rsidR="00DE26A6" w:rsidRDefault="00DE26A6">
            <w:pPr>
              <w:spacing w:after="0" w:line="240" w:lineRule="auto"/>
              <w:jc w:val="center"/>
            </w:pPr>
          </w:p>
        </w:tc>
        <w:tc>
          <w:tcPr>
            <w:tcW w:w="2158" w:type="dxa"/>
            <w:gridSpan w:val="2"/>
            <w:shd w:val="clear" w:color="auto" w:fill="auto"/>
          </w:tcPr>
          <w:p w:rsidR="00DE26A6" w:rsidRDefault="00DE26A6">
            <w:pPr>
              <w:spacing w:after="0" w:line="240" w:lineRule="auto"/>
              <w:jc w:val="center"/>
            </w:pPr>
          </w:p>
        </w:tc>
        <w:tc>
          <w:tcPr>
            <w:tcW w:w="2157" w:type="dxa"/>
            <w:tcBorders>
              <w:bottom w:val="single" w:sz="4" w:space="0" w:color="00000A"/>
            </w:tcBorders>
            <w:shd w:val="clear" w:color="auto" w:fill="auto"/>
          </w:tcPr>
          <w:p w:rsidR="00DE26A6" w:rsidRDefault="00DE26A6">
            <w:pPr>
              <w:spacing w:after="0" w:line="240" w:lineRule="auto"/>
              <w:jc w:val="center"/>
            </w:pPr>
          </w:p>
        </w:tc>
        <w:tc>
          <w:tcPr>
            <w:tcW w:w="2280" w:type="dxa"/>
            <w:shd w:val="clear" w:color="auto" w:fill="auto"/>
          </w:tcPr>
          <w:p w:rsidR="00DE26A6" w:rsidRDefault="00DE26A6">
            <w:pPr>
              <w:spacing w:after="0" w:line="240" w:lineRule="auto"/>
              <w:jc w:val="center"/>
            </w:pPr>
          </w:p>
        </w:tc>
      </w:tr>
      <w:tr w:rsidR="00DE26A6">
        <w:tc>
          <w:tcPr>
            <w:tcW w:w="6473" w:type="dxa"/>
            <w:gridSpan w:val="3"/>
            <w:shd w:val="clear" w:color="auto" w:fill="auto"/>
          </w:tcPr>
          <w:p w:rsidR="00DE26A6" w:rsidRPr="0063642C" w:rsidRDefault="00DE26A6">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DE26A6" w:rsidRPr="0063642C" w:rsidRDefault="0063642C">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DE26A6">
        <w:trPr>
          <w:trHeight w:val="1383"/>
        </w:trPr>
        <w:tc>
          <w:tcPr>
            <w:tcW w:w="13068" w:type="dxa"/>
            <w:gridSpan w:val="7"/>
            <w:shd w:val="clear" w:color="auto" w:fill="auto"/>
          </w:tcPr>
          <w:p w:rsidR="00DE26A6" w:rsidRPr="0063642C" w:rsidRDefault="00DE26A6">
            <w:pPr>
              <w:spacing w:after="0" w:line="240" w:lineRule="auto"/>
              <w:rPr>
                <w:lang w:val="sr-Cyrl-BA"/>
              </w:rPr>
            </w:pPr>
          </w:p>
        </w:tc>
      </w:tr>
      <w:tr w:rsidR="00DE26A6">
        <w:tc>
          <w:tcPr>
            <w:tcW w:w="6592" w:type="dxa"/>
            <w:gridSpan w:val="4"/>
            <w:shd w:val="clear" w:color="auto" w:fill="auto"/>
          </w:tcPr>
          <w:p w:rsidR="00DE26A6" w:rsidRDefault="00055F15">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DE26A6" w:rsidRDefault="00DE26A6">
            <w:pPr>
              <w:spacing w:after="0" w:line="240" w:lineRule="auto"/>
            </w:pPr>
          </w:p>
        </w:tc>
      </w:tr>
      <w:tr w:rsidR="00DE26A6">
        <w:trPr>
          <w:trHeight w:val="960"/>
        </w:trPr>
        <w:tc>
          <w:tcPr>
            <w:tcW w:w="13068" w:type="dxa"/>
            <w:gridSpan w:val="7"/>
            <w:shd w:val="clear" w:color="auto" w:fill="auto"/>
          </w:tcPr>
          <w:p w:rsidR="00DE26A6" w:rsidRDefault="00055F1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Одсјек за јавне </w:t>
            </w:r>
            <w:r>
              <w:rPr>
                <w:rFonts w:ascii="Times New Roman" w:eastAsia="Times New Roman" w:hAnsi="Times New Roman" w:cs="Times New Roman"/>
                <w:color w:val="000000"/>
              </w:rPr>
              <w:t>набавке, правна питања и прописе</w:t>
            </w:r>
          </w:p>
          <w:p w:rsidR="00DE26A6" w:rsidRDefault="00055F15">
            <w:pPr>
              <w:spacing w:after="0" w:line="240" w:lineRule="auto"/>
              <w:rPr>
                <w:rFonts w:ascii="Times New Roman" w:hAnsi="Times New Roman" w:cs="Times New Roman"/>
              </w:rPr>
            </w:pPr>
            <w:r>
              <w:rPr>
                <w:rFonts w:ascii="Times New Roman" w:hAnsi="Times New Roman" w:cs="Times New Roman"/>
              </w:rPr>
              <w:t>Руководилац субјекта,</w:t>
            </w:r>
          </w:p>
          <w:p w:rsidR="00DE26A6" w:rsidRDefault="00055F15">
            <w:pPr>
              <w:spacing w:after="0" w:line="240" w:lineRule="auto"/>
              <w:rPr>
                <w:rFonts w:ascii="Times New Roman" w:hAnsi="Times New Roman" w:cs="Times New Roman"/>
              </w:rPr>
            </w:pPr>
            <w:r>
              <w:rPr>
                <w:rFonts w:ascii="Times New Roman" w:hAnsi="Times New Roman" w:cs="Times New Roman"/>
              </w:rPr>
              <w:t>а/а</w:t>
            </w:r>
          </w:p>
        </w:tc>
      </w:tr>
    </w:tbl>
    <w:p w:rsidR="00DE26A6" w:rsidRPr="0063642C" w:rsidRDefault="00DE26A6">
      <w:pPr>
        <w:rPr>
          <w:lang w:val="sr-Cyrl-BA"/>
        </w:rPr>
      </w:pPr>
    </w:p>
    <w:sectPr w:rsidR="00DE26A6" w:rsidRPr="0063642C" w:rsidSect="00DE26A6">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15" w:rsidRDefault="00055F15" w:rsidP="00DE26A6">
      <w:pPr>
        <w:spacing w:after="0" w:line="240" w:lineRule="auto"/>
      </w:pPr>
      <w:r>
        <w:separator/>
      </w:r>
    </w:p>
  </w:endnote>
  <w:endnote w:type="continuationSeparator" w:id="1">
    <w:p w:rsidR="00055F15" w:rsidRDefault="00055F15" w:rsidP="00DE2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15" w:rsidRDefault="00055F15" w:rsidP="00DE26A6">
      <w:pPr>
        <w:spacing w:after="0" w:line="240" w:lineRule="auto"/>
      </w:pPr>
      <w:r>
        <w:separator/>
      </w:r>
    </w:p>
  </w:footnote>
  <w:footnote w:type="continuationSeparator" w:id="1">
    <w:p w:rsidR="00055F15" w:rsidRDefault="00055F15" w:rsidP="00DE2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DE26A6">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DE26A6" w:rsidRDefault="00055F1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DE26A6">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DE26A6" w:rsidRDefault="00055F15">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DE26A6" w:rsidRDefault="00DE2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C83"/>
    <w:multiLevelType w:val="multilevel"/>
    <w:tmpl w:val="ECDA2C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570F225A"/>
    <w:multiLevelType w:val="multilevel"/>
    <w:tmpl w:val="2416B5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26A6"/>
    <w:rsid w:val="00055F15"/>
    <w:rsid w:val="00143D5F"/>
    <w:rsid w:val="0030521A"/>
    <w:rsid w:val="0063642C"/>
    <w:rsid w:val="006A76F3"/>
    <w:rsid w:val="00725D84"/>
    <w:rsid w:val="00770AF6"/>
    <w:rsid w:val="00DE2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A6"/>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DE26A6"/>
  </w:style>
  <w:style w:type="character" w:customStyle="1" w:styleId="FooterChar">
    <w:name w:val="Footer Char"/>
    <w:basedOn w:val="DefaultParagraphFont"/>
    <w:qFormat/>
    <w:rsid w:val="00DE26A6"/>
  </w:style>
  <w:style w:type="character" w:styleId="CommentReference">
    <w:name w:val="annotation reference"/>
    <w:basedOn w:val="DefaultParagraphFont"/>
    <w:qFormat/>
    <w:rsid w:val="00DE26A6"/>
    <w:rPr>
      <w:sz w:val="16"/>
      <w:szCs w:val="16"/>
    </w:rPr>
  </w:style>
  <w:style w:type="character" w:customStyle="1" w:styleId="CommentTextChar">
    <w:name w:val="Comment Text Char"/>
    <w:basedOn w:val="DefaultParagraphFont"/>
    <w:qFormat/>
    <w:rsid w:val="00DE26A6"/>
    <w:rPr>
      <w:sz w:val="20"/>
      <w:szCs w:val="20"/>
    </w:rPr>
  </w:style>
  <w:style w:type="character" w:customStyle="1" w:styleId="CommentSubjectChar">
    <w:name w:val="Comment Subject Char"/>
    <w:basedOn w:val="CommentTextChar"/>
    <w:qFormat/>
    <w:rsid w:val="00DE26A6"/>
    <w:rPr>
      <w:b/>
      <w:bCs/>
      <w:sz w:val="20"/>
      <w:szCs w:val="20"/>
    </w:rPr>
  </w:style>
  <w:style w:type="character" w:customStyle="1" w:styleId="BalloonTextChar">
    <w:name w:val="Balloon Text Char"/>
    <w:basedOn w:val="DefaultParagraphFont"/>
    <w:qFormat/>
    <w:rsid w:val="00DE26A6"/>
    <w:rPr>
      <w:rFonts w:ascii="Segoe UI" w:hAnsi="Segoe UI" w:cs="Segoe UI"/>
      <w:sz w:val="18"/>
      <w:szCs w:val="18"/>
    </w:rPr>
  </w:style>
  <w:style w:type="paragraph" w:customStyle="1" w:styleId="Heading">
    <w:name w:val="Heading"/>
    <w:basedOn w:val="Normal"/>
    <w:next w:val="TextBody"/>
    <w:qFormat/>
    <w:rsid w:val="00DE26A6"/>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E26A6"/>
    <w:pPr>
      <w:spacing w:after="140" w:line="288" w:lineRule="auto"/>
    </w:pPr>
  </w:style>
  <w:style w:type="paragraph" w:styleId="List">
    <w:name w:val="List"/>
    <w:basedOn w:val="TextBody"/>
    <w:rsid w:val="00DE26A6"/>
  </w:style>
  <w:style w:type="paragraph" w:styleId="Caption">
    <w:name w:val="caption"/>
    <w:basedOn w:val="Normal"/>
    <w:qFormat/>
    <w:rsid w:val="00DE26A6"/>
    <w:pPr>
      <w:suppressLineNumbers/>
      <w:spacing w:before="120" w:after="120"/>
    </w:pPr>
    <w:rPr>
      <w:i/>
      <w:iCs/>
      <w:sz w:val="24"/>
      <w:szCs w:val="24"/>
    </w:rPr>
  </w:style>
  <w:style w:type="paragraph" w:customStyle="1" w:styleId="Index">
    <w:name w:val="Index"/>
    <w:basedOn w:val="Normal"/>
    <w:qFormat/>
    <w:rsid w:val="00DE26A6"/>
    <w:pPr>
      <w:suppressLineNumbers/>
    </w:pPr>
  </w:style>
  <w:style w:type="paragraph" w:styleId="Header">
    <w:name w:val="header"/>
    <w:basedOn w:val="Normal"/>
    <w:rsid w:val="00DE26A6"/>
    <w:pPr>
      <w:tabs>
        <w:tab w:val="center" w:pos="4680"/>
        <w:tab w:val="right" w:pos="9360"/>
      </w:tabs>
      <w:spacing w:after="0" w:line="240" w:lineRule="auto"/>
    </w:pPr>
  </w:style>
  <w:style w:type="paragraph" w:styleId="Footer">
    <w:name w:val="footer"/>
    <w:basedOn w:val="Normal"/>
    <w:rsid w:val="00DE26A6"/>
    <w:pPr>
      <w:tabs>
        <w:tab w:val="center" w:pos="4680"/>
        <w:tab w:val="right" w:pos="9360"/>
      </w:tabs>
      <w:spacing w:after="0" w:line="240" w:lineRule="auto"/>
    </w:pPr>
  </w:style>
  <w:style w:type="paragraph" w:styleId="CommentText">
    <w:name w:val="annotation text"/>
    <w:basedOn w:val="Normal"/>
    <w:qFormat/>
    <w:rsid w:val="00DE26A6"/>
    <w:pPr>
      <w:spacing w:line="240" w:lineRule="auto"/>
    </w:pPr>
    <w:rPr>
      <w:sz w:val="20"/>
      <w:szCs w:val="20"/>
    </w:rPr>
  </w:style>
  <w:style w:type="paragraph" w:styleId="CommentSubject">
    <w:name w:val="annotation subject"/>
    <w:basedOn w:val="CommentText"/>
    <w:qFormat/>
    <w:rsid w:val="00DE26A6"/>
    <w:rPr>
      <w:b/>
      <w:bCs/>
    </w:rPr>
  </w:style>
  <w:style w:type="paragraph" w:styleId="BalloonText">
    <w:name w:val="Balloon Text"/>
    <w:basedOn w:val="Normal"/>
    <w:qFormat/>
    <w:rsid w:val="00DE26A6"/>
    <w:pPr>
      <w:spacing w:after="0" w:line="240" w:lineRule="auto"/>
    </w:pPr>
    <w:rPr>
      <w:rFonts w:ascii="Segoe UI" w:hAnsi="Segoe UI" w:cs="Segoe UI"/>
      <w:sz w:val="18"/>
      <w:szCs w:val="18"/>
    </w:rPr>
  </w:style>
  <w:style w:type="paragraph" w:styleId="ListParagraph">
    <w:name w:val="List Paragraph"/>
    <w:basedOn w:val="Normal"/>
    <w:qFormat/>
    <w:rsid w:val="00DE26A6"/>
    <w:pPr>
      <w:ind w:left="720"/>
      <w:contextualSpacing/>
    </w:pPr>
  </w:style>
  <w:style w:type="paragraph" w:customStyle="1" w:styleId="TableContents">
    <w:name w:val="Table Contents"/>
    <w:basedOn w:val="Normal"/>
    <w:qFormat/>
    <w:rsid w:val="00DE26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98</cp:revision>
  <dcterms:created xsi:type="dcterms:W3CDTF">2021-08-16T14:03:00Z</dcterms:created>
  <dcterms:modified xsi:type="dcterms:W3CDTF">2025-08-25T06:36:00Z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