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1F8" w:rsidRDefault="005F287E">
      <w:pPr>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Ревизорски извјештај</w:t>
      </w:r>
    </w:p>
    <w:tbl>
      <w:tblPr>
        <w:tblW w:w="137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090"/>
        <w:gridCol w:w="5615"/>
      </w:tblGrid>
      <w:tr w:rsidR="006411F8">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pPr>
            <w:r>
              <w:rPr>
                <w:rFonts w:ascii="Times New Roman" w:eastAsia="Times New Roman" w:hAnsi="Times New Roman" w:cs="Times New Roman"/>
                <w:b/>
                <w:bCs/>
                <w:color w:val="000000"/>
                <w:sz w:val="20"/>
                <w:szCs w:val="20"/>
              </w:rPr>
              <w:t>Назив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Ревизија плаћања у Одјељењу за финансије</w:t>
            </w:r>
          </w:p>
        </w:tc>
      </w:tr>
      <w:tr w:rsidR="006411F8">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Временски период обухваћен ревизијом:</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B87FD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07/11/2023 - 27</w:t>
            </w:r>
            <w:r w:rsidR="005F287E">
              <w:rPr>
                <w:rFonts w:ascii="Times New Roman" w:eastAsia="Times New Roman" w:hAnsi="Times New Roman" w:cs="Times New Roman"/>
                <w:color w:val="000000"/>
                <w:sz w:val="20"/>
                <w:szCs w:val="20"/>
              </w:rPr>
              <w:t>/11/2023</w:t>
            </w:r>
          </w:p>
        </w:tc>
      </w:tr>
      <w:tr w:rsidR="006411F8">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pPr>
            <w:r>
              <w:rPr>
                <w:rFonts w:ascii="Times New Roman" w:hAnsi="Times New Roman" w:cs="Times New Roman"/>
                <w:b/>
                <w:bCs/>
                <w:sz w:val="20"/>
                <w:szCs w:val="20"/>
              </w:rPr>
              <w:t>Број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rPr>
                <w:rFonts w:ascii="Times New Roman" w:hAnsi="Times New Roman" w:cs="Times New Roman"/>
                <w:sz w:val="20"/>
                <w:szCs w:val="20"/>
              </w:rPr>
            </w:pPr>
            <w:r>
              <w:rPr>
                <w:rFonts w:ascii="Times New Roman" w:hAnsi="Times New Roman" w:cs="Times New Roman"/>
                <w:sz w:val="20"/>
                <w:szCs w:val="20"/>
              </w:rPr>
              <w:t>13-014-501/23</w:t>
            </w:r>
          </w:p>
        </w:tc>
      </w:tr>
      <w:tr w:rsidR="006411F8">
        <w:trPr>
          <w:trHeight w:val="36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pPr>
            <w:r>
              <w:rPr>
                <w:rFonts w:ascii="Times New Roman" w:eastAsia="Times New Roman" w:hAnsi="Times New Roman" w:cs="Times New Roman"/>
                <w:b/>
                <w:bCs/>
                <w:color w:val="000000"/>
                <w:sz w:val="20"/>
                <w:szCs w:val="20"/>
              </w:rPr>
              <w:t>Назив ревидираног субјекта/oрганизационе јединице укључене у ревидирани процес:</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Одјељење за финансије</w:t>
            </w:r>
          </w:p>
        </w:tc>
      </w:tr>
      <w:tr w:rsidR="006411F8">
        <w:trPr>
          <w:trHeight w:val="34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Вођа ревизорског тима:</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tabs>
                <w:tab w:val="left" w:pos="300"/>
                <w:tab w:val="center" w:pos="269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Зоран Дебељак</w:t>
            </w:r>
          </w:p>
        </w:tc>
      </w:tr>
      <w:tr w:rsidR="006411F8">
        <w:trPr>
          <w:trHeight w:val="90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Чланови ревизорског тима: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Зоран Дебељак</w:t>
            </w:r>
          </w:p>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6411F8">
        <w:trPr>
          <w:trHeight w:val="312"/>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ИЗВРШНИ РЕЗИМЕ</w:t>
            </w:r>
          </w:p>
        </w:tc>
      </w:tr>
      <w:tr w:rsidR="006411F8">
        <w:trPr>
          <w:trHeight w:val="611"/>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pStyle w:val="CommentText"/>
            </w:pPr>
            <w:r>
              <w:rPr>
                <w:rFonts w:ascii="Times New Roman" w:hAnsi="Times New Roman" w:cs="Times New Roman"/>
                <w:b/>
                <w:bCs/>
              </w:rPr>
              <w:t xml:space="preserve">Слободан текст </w:t>
            </w:r>
            <w:r>
              <w:rPr>
                <w:rFonts w:ascii="Times New Roman" w:hAnsi="Times New Roman" w:cs="Times New Roman"/>
              </w:rPr>
              <w:t>(навести  кратак опис циљева и обима ревизије, нај</w:t>
            </w:r>
            <w:r w:rsidR="00B87FDF">
              <w:rPr>
                <w:rFonts w:ascii="Times New Roman" w:hAnsi="Times New Roman" w:cs="Times New Roman"/>
              </w:rPr>
              <w:t>значајнијих налаза ревизије и њ</w:t>
            </w:r>
            <w:r>
              <w:rPr>
                <w:rFonts w:ascii="Times New Roman" w:hAnsi="Times New Roman" w:cs="Times New Roman"/>
              </w:rPr>
              <w:t>има везаних ризика)</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pPr>
            <w:r>
              <w:rPr>
                <w:rFonts w:ascii="Times New Roman" w:eastAsia="Times New Roman" w:hAnsi="Times New Roman" w:cs="Times New Roman"/>
                <w:color w:val="000000"/>
                <w:sz w:val="20"/>
                <w:szCs w:val="20"/>
              </w:rPr>
              <w:t xml:space="preserve"> На основу </w:t>
            </w:r>
            <w:r>
              <w:rPr>
                <w:rFonts w:ascii="Times New Roman" w:eastAsia="Times New Roman" w:hAnsi="Times New Roman" w:cs="Times New Roman"/>
                <w:color w:val="000000"/>
                <w:sz w:val="20"/>
                <w:szCs w:val="20"/>
              </w:rPr>
              <w:t xml:space="preserve">књиговодствене исправе врши се књижење насталих пословних догађаја, а самим тим и насталих обавеза. Рок за плаћање доспјелих обавеза одређује се и уговорним односом Градске управе града Прњавор и добављача односно субјеката који врше одређену врсту услуге </w:t>
            </w:r>
            <w:r>
              <w:rPr>
                <w:rFonts w:ascii="Times New Roman" w:eastAsia="Times New Roman" w:hAnsi="Times New Roman" w:cs="Times New Roman"/>
                <w:color w:val="000000"/>
                <w:sz w:val="20"/>
                <w:szCs w:val="20"/>
              </w:rPr>
              <w:t>за градску управу. Одлуком о извршењу буџета прописано је и које обавезе односно плаћања могу бити већег приоритета. Циљ ове интерне ревизије је утврдити да ли се дневно одобравају обавезе за исплату од стране надлежне особе и да ли се повремено извјештава</w:t>
            </w:r>
            <w:r>
              <w:rPr>
                <w:rFonts w:ascii="Times New Roman" w:eastAsia="Times New Roman" w:hAnsi="Times New Roman" w:cs="Times New Roman"/>
                <w:color w:val="000000"/>
                <w:sz w:val="20"/>
                <w:szCs w:val="20"/>
              </w:rPr>
              <w:t>ју екстерни буџетски корисници о извршеном плаћању за претходни период.</w:t>
            </w:r>
          </w:p>
        </w:tc>
      </w:tr>
      <w:tr w:rsidR="006411F8">
        <w:trPr>
          <w:trHeight w:val="288"/>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УВОД </w:t>
            </w:r>
          </w:p>
        </w:tc>
      </w:tr>
      <w:tr w:rsidR="006411F8">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pStyle w:val="ListParagraph"/>
              <w:numPr>
                <w:ilvl w:val="1"/>
                <w:numId w:val="1"/>
              </w:numPr>
              <w:spacing w:after="0" w:line="240" w:lineRule="auto"/>
            </w:pPr>
            <w:r>
              <w:rPr>
                <w:rFonts w:ascii="Times New Roman" w:eastAsia="Times New Roman" w:hAnsi="Times New Roman" w:cs="Times New Roman"/>
                <w:b/>
                <w:bCs/>
                <w:color w:val="000000"/>
                <w:sz w:val="20"/>
                <w:szCs w:val="20"/>
              </w:rPr>
              <w:t>Основ за ревизију:</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6411F8">
            <w:pPr>
              <w:spacing w:after="0" w:line="240" w:lineRule="auto"/>
              <w:rPr>
                <w:rFonts w:ascii="Times New Roman" w:eastAsia="Times New Roman" w:hAnsi="Times New Roman" w:cs="Times New Roman"/>
                <w:color w:val="000000"/>
                <w:sz w:val="20"/>
                <w:szCs w:val="20"/>
              </w:rPr>
            </w:pPr>
          </w:p>
        </w:tc>
      </w:tr>
      <w:tr w:rsidR="006411F8">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pStyle w:val="ListParagraph"/>
              <w:numPr>
                <w:ilvl w:val="1"/>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Предмет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6411F8">
            <w:pPr>
              <w:spacing w:after="0" w:line="240" w:lineRule="auto"/>
              <w:rPr>
                <w:rFonts w:ascii="Times New Roman" w:eastAsia="Times New Roman" w:hAnsi="Times New Roman" w:cs="Times New Roman"/>
                <w:color w:val="000000"/>
                <w:sz w:val="20"/>
                <w:szCs w:val="20"/>
              </w:rPr>
            </w:pPr>
          </w:p>
        </w:tc>
      </w:tr>
      <w:tr w:rsidR="006411F8">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pPr>
            <w:r>
              <w:rPr>
                <w:rFonts w:ascii="Times New Roman" w:eastAsia="Times New Roman" w:hAnsi="Times New Roman" w:cs="Times New Roman"/>
                <w:b/>
                <w:bCs/>
                <w:color w:val="000000"/>
                <w:sz w:val="20"/>
                <w:szCs w:val="20"/>
              </w:rPr>
              <w:t xml:space="preserve">1.3. Циљеви интерне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Осигурати да се дневно одобравају обавезе за исплату од стране надлежне особе. </w:t>
            </w:r>
          </w:p>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Осигурати да се повремено извјештавају екстерни буџетски корисници о извршеном плаћању за претходни период. </w:t>
            </w:r>
          </w:p>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Осигурати адекватан одговор на квар ИТ система приликом плаћања.</w:t>
            </w:r>
          </w:p>
        </w:tc>
      </w:tr>
      <w:tr w:rsidR="006411F8">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6411F8" w:rsidRDefault="005F287E">
            <w:pPr>
              <w:spacing w:after="0" w:line="240" w:lineRule="auto"/>
            </w:pPr>
            <w:r>
              <w:rPr>
                <w:rFonts w:ascii="Times New Roman" w:eastAsia="Times New Roman" w:hAnsi="Times New Roman" w:cs="Times New Roman"/>
                <w:b/>
                <w:bCs/>
                <w:color w:val="000000"/>
                <w:sz w:val="20"/>
                <w:szCs w:val="20"/>
              </w:rPr>
              <w:t xml:space="preserve">1.4. Обим интерне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Закон о унутрашњем платном промету („Службен</w:t>
            </w:r>
            <w:r>
              <w:rPr>
                <w:rFonts w:ascii="Times New Roman" w:eastAsia="Times New Roman" w:hAnsi="Times New Roman" w:cs="Times New Roman"/>
                <w:color w:val="000000"/>
                <w:sz w:val="20"/>
                <w:szCs w:val="20"/>
              </w:rPr>
              <w:t xml:space="preserve">и гласник </w:t>
            </w:r>
            <w:r>
              <w:rPr>
                <w:rFonts w:ascii="Times New Roman" w:eastAsia="Times New Roman" w:hAnsi="Times New Roman" w:cs="Times New Roman"/>
                <w:color w:val="000000"/>
                <w:sz w:val="20"/>
                <w:szCs w:val="20"/>
              </w:rPr>
              <w:lastRenderedPageBreak/>
              <w:t>Републике Српске“ број 52/12 и 92/12),</w:t>
            </w:r>
          </w:p>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Закон о рачуноводству и ревизији Републике Српске („Службени гласник Републике Српске“ број 94/15),</w:t>
            </w:r>
          </w:p>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Закон о трезору („Службени гласник Републике Српске“ број 28/13 и 103/15),</w:t>
            </w:r>
          </w:p>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извјештаји о унесеним </w:t>
            </w:r>
            <w:r>
              <w:rPr>
                <w:rFonts w:ascii="Times New Roman" w:eastAsia="Times New Roman" w:hAnsi="Times New Roman" w:cs="Times New Roman"/>
                <w:color w:val="000000"/>
                <w:sz w:val="20"/>
                <w:szCs w:val="20"/>
              </w:rPr>
              <w:t>обавезама у трезорску апликацију,</w:t>
            </w:r>
          </w:p>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извјештаји екстерним буџетским корисницима о плаћању</w:t>
            </w:r>
          </w:p>
        </w:tc>
      </w:tr>
      <w:tr w:rsidR="006411F8">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pPr>
            <w:r>
              <w:rPr>
                <w:rFonts w:ascii="Times New Roman" w:eastAsia="Times New Roman" w:hAnsi="Times New Roman" w:cs="Times New Roman"/>
                <w:b/>
                <w:bCs/>
                <w:color w:val="000000"/>
                <w:sz w:val="20"/>
                <w:szCs w:val="20"/>
              </w:rPr>
              <w:lastRenderedPageBreak/>
              <w:t>1.5. Полазне информације о ревидираном подручју</w:t>
            </w:r>
            <w:r>
              <w:rPr>
                <w:rFonts w:ascii="Times New Roman" w:eastAsia="Times New Roman" w:hAnsi="Times New Roman" w:cs="Times New Roman"/>
                <w:color w:val="000000"/>
                <w:sz w:val="20"/>
                <w:szCs w:val="20"/>
              </w:rPr>
              <w:t xml:space="preserve">: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pPr>
            <w:r>
              <w:rPr>
                <w:rFonts w:ascii="Times New Roman" w:eastAsia="Times New Roman" w:hAnsi="Times New Roman" w:cs="Times New Roman"/>
                <w:color w:val="000000"/>
                <w:sz w:val="20"/>
                <w:szCs w:val="20"/>
              </w:rPr>
              <w:t> Плаћање је извршење платних трансакција ради преноса средстава са једног рачуна на други рачун, уплате и исплате са</w:t>
            </w:r>
            <w:r>
              <w:rPr>
                <w:rFonts w:ascii="Times New Roman" w:eastAsia="Times New Roman" w:hAnsi="Times New Roman" w:cs="Times New Roman"/>
                <w:color w:val="000000"/>
                <w:sz w:val="20"/>
                <w:szCs w:val="20"/>
              </w:rPr>
              <w:t xml:space="preserve"> рачуна, наплате са рачуна, обрачунско плаћање, као и други послови платног промета.</w:t>
            </w:r>
          </w:p>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Пословни субјекти дужни су да за потребе плаћања отворе рачуне у овлашћеним организацијама и да сва новчана средства воде на тим рачунима, као и да врше плаћање преко рачу</w:t>
            </w:r>
            <w:r>
              <w:rPr>
                <w:rFonts w:ascii="Times New Roman" w:eastAsia="Times New Roman" w:hAnsi="Times New Roman" w:cs="Times New Roman"/>
                <w:color w:val="000000"/>
                <w:sz w:val="20"/>
                <w:szCs w:val="20"/>
              </w:rPr>
              <w:t>на, у складу са Законом  о унутрашњем платном промету, законом који уређује платне трансакције и закљученим уговором о отварању и вођењу рачуна са овлашћеном организацијом којим су уређена међусобна права и обавезе.</w:t>
            </w:r>
          </w:p>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 обављању послова платног промета овлаш</w:t>
            </w:r>
            <w:r>
              <w:rPr>
                <w:rFonts w:ascii="Times New Roman" w:eastAsia="Times New Roman" w:hAnsi="Times New Roman" w:cs="Times New Roman"/>
                <w:color w:val="000000"/>
                <w:sz w:val="20"/>
                <w:szCs w:val="20"/>
              </w:rPr>
              <w:t>ћене организације дужне су примјењивати одредбе прописа о пословању банака које уређују заштиту права и интереса корисника финансијских услуга, као и одредбе  других прописа којима се уређују заштита потрошача, облигациони односи и платне трансакције.</w:t>
            </w:r>
          </w:p>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Трез</w:t>
            </w:r>
            <w:r>
              <w:rPr>
                <w:rFonts w:ascii="Times New Roman" w:eastAsia="Times New Roman" w:hAnsi="Times New Roman" w:cs="Times New Roman"/>
                <w:color w:val="000000"/>
                <w:sz w:val="20"/>
                <w:szCs w:val="20"/>
              </w:rPr>
              <w:t xml:space="preserve">орски систем Републике Српске обухвата Трезор Републике и локалне трезоре. Трезор Републике и локалне трезоре успоставља и њима руководи Министарство финансија, односно надлежна служба града. </w:t>
            </w:r>
          </w:p>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Главна књига трезора је систематска књиговодствена евиденција с</w:t>
            </w:r>
            <w:r>
              <w:rPr>
                <w:rFonts w:ascii="Times New Roman" w:eastAsia="Times New Roman" w:hAnsi="Times New Roman" w:cs="Times New Roman"/>
                <w:color w:val="000000"/>
                <w:sz w:val="20"/>
                <w:szCs w:val="20"/>
              </w:rPr>
              <w:t>вих буџетских и финансијских трансакција Републике, општина, градова и фондова, односно прихода и расхода, средстава, извора средстава, обавеза, прилива и одлива у складу са прописаним контним планом и на нивоу прописаних буџетских класификација.</w:t>
            </w:r>
          </w:p>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Министарс</w:t>
            </w:r>
            <w:r>
              <w:rPr>
                <w:rFonts w:ascii="Times New Roman" w:eastAsia="Times New Roman" w:hAnsi="Times New Roman" w:cs="Times New Roman"/>
                <w:color w:val="000000"/>
                <w:sz w:val="20"/>
                <w:szCs w:val="20"/>
              </w:rPr>
              <w:t>тво финансија, односно надлежна служба града, управља свим трансакцијама буџета путем главне књиге трезора.</w:t>
            </w:r>
          </w:p>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Трезор Републике је дужан да обезбиједи одржавање </w:t>
            </w:r>
            <w:r>
              <w:rPr>
                <w:rFonts w:ascii="Times New Roman" w:eastAsia="Times New Roman" w:hAnsi="Times New Roman" w:cs="Times New Roman"/>
                <w:color w:val="000000"/>
                <w:sz w:val="20"/>
                <w:szCs w:val="20"/>
              </w:rPr>
              <w:lastRenderedPageBreak/>
              <w:t xml:space="preserve">централне апликације информатичког и функционалног рачуноводственог система трезора. </w:t>
            </w:r>
          </w:p>
        </w:tc>
      </w:tr>
      <w:tr w:rsidR="006411F8">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pStyle w:val="CommentText"/>
            </w:pPr>
            <w:r>
              <w:rPr>
                <w:rFonts w:ascii="Times New Roman" w:eastAsia="Times New Roman" w:hAnsi="Times New Roman" w:cs="Times New Roman"/>
                <w:b/>
                <w:bCs/>
                <w:color w:val="000000"/>
              </w:rPr>
              <w:lastRenderedPageBreak/>
              <w:t xml:space="preserve">1.6. </w:t>
            </w:r>
            <w:r>
              <w:rPr>
                <w:rFonts w:ascii="Times New Roman" w:eastAsia="Times New Roman" w:hAnsi="Times New Roman" w:cs="Times New Roman"/>
                <w:b/>
                <w:bCs/>
                <w:color w:val="000000"/>
              </w:rPr>
              <w:t>Позитивни налази</w:t>
            </w:r>
            <w:r>
              <w:rPr>
                <w:rFonts w:ascii="Times New Roman" w:eastAsia="Times New Roman" w:hAnsi="Times New Roman" w:cs="Times New Roman"/>
                <w:color w:val="000000"/>
              </w:rPr>
              <w:t>:</w:t>
            </w:r>
          </w:p>
          <w:p w:rsidR="006411F8" w:rsidRDefault="006411F8">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pPr>
            <w:r>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Плаћање дневних обавеза се врши искључиво уколико постоји потпис и печат овлаштене особе, а по потреби се екстерни буџетски корисници извјештавају о плаћању за претходни период. Уколико дође до квара ИТ система приликом плаћања, исто се настоји брзо преваз</w:t>
            </w:r>
            <w:r>
              <w:rPr>
                <w:rFonts w:ascii="Times New Roman" w:eastAsia="Times New Roman" w:hAnsi="Times New Roman" w:cs="Times New Roman"/>
                <w:color w:val="000000"/>
                <w:sz w:val="20"/>
                <w:szCs w:val="20"/>
              </w:rPr>
              <w:t xml:space="preserve">иђи тако што се надлежни ресор у оквиру Министарства финансија обавјештава о квару.   </w:t>
            </w:r>
          </w:p>
        </w:tc>
      </w:tr>
      <w:tr w:rsidR="006411F8">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pPr>
            <w:r>
              <w:rPr>
                <w:rFonts w:ascii="Times New Roman" w:eastAsia="Times New Roman" w:hAnsi="Times New Roman" w:cs="Times New Roman"/>
                <w:b/>
                <w:bCs/>
                <w:color w:val="000000"/>
                <w:sz w:val="20"/>
                <w:szCs w:val="20"/>
              </w:rPr>
              <w:t xml:space="preserve">1.7. Одговорности: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6411F8">
            <w:pPr>
              <w:spacing w:after="0" w:line="240" w:lineRule="auto"/>
              <w:rPr>
                <w:rFonts w:ascii="Times New Roman" w:eastAsia="Times New Roman" w:hAnsi="Times New Roman" w:cs="Times New Roman"/>
                <w:color w:val="000000"/>
                <w:sz w:val="20"/>
                <w:szCs w:val="20"/>
              </w:rPr>
            </w:pPr>
          </w:p>
        </w:tc>
      </w:tr>
      <w:tr w:rsidR="006411F8">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pPr>
            <w:r>
              <w:rPr>
                <w:rFonts w:ascii="Times New Roman" w:eastAsia="Times New Roman" w:hAnsi="Times New Roman" w:cs="Times New Roman"/>
                <w:b/>
                <w:bCs/>
                <w:color w:val="000000"/>
                <w:sz w:val="20"/>
                <w:szCs w:val="20"/>
              </w:rPr>
              <w:t xml:space="preserve">1.8. Ограничења ревизије: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6411F8">
            <w:pPr>
              <w:spacing w:after="0" w:line="240" w:lineRule="auto"/>
              <w:rPr>
                <w:rFonts w:ascii="Times New Roman" w:eastAsia="Times New Roman" w:hAnsi="Times New Roman" w:cs="Times New Roman"/>
                <w:color w:val="000000"/>
                <w:sz w:val="20"/>
                <w:szCs w:val="20"/>
              </w:rPr>
            </w:pPr>
          </w:p>
        </w:tc>
      </w:tr>
      <w:tr w:rsidR="006411F8">
        <w:trPr>
          <w:trHeight w:val="289"/>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6411F8">
            <w:pPr>
              <w:pStyle w:val="CommentText"/>
              <w:rPr>
                <w:rFonts w:ascii="Times New Roman" w:eastAsia="Times New Roman" w:hAnsi="Times New Roman" w:cs="Times New Roman"/>
                <w:b/>
                <w:bCs/>
                <w:color w:val="00000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6411F8">
            <w:pPr>
              <w:spacing w:after="0" w:line="240" w:lineRule="auto"/>
              <w:rPr>
                <w:rFonts w:ascii="Times New Roman" w:eastAsia="Times New Roman" w:hAnsi="Times New Roman" w:cs="Times New Roman"/>
                <w:color w:val="000000"/>
                <w:sz w:val="20"/>
                <w:szCs w:val="20"/>
              </w:rPr>
            </w:pPr>
          </w:p>
        </w:tc>
      </w:tr>
      <w:tr w:rsidR="006411F8">
        <w:trPr>
          <w:trHeight w:val="300"/>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6411F8" w:rsidRDefault="005F287E">
            <w:pPr>
              <w:spacing w:after="0" w:line="240" w:lineRule="auto"/>
            </w:pPr>
            <w:r>
              <w:rPr>
                <w:rFonts w:ascii="Times New Roman" w:eastAsia="Times New Roman" w:hAnsi="Times New Roman" w:cs="Times New Roman"/>
                <w:color w:val="000000"/>
                <w:sz w:val="20"/>
                <w:szCs w:val="20"/>
              </w:rPr>
              <w:t>2. НАЛАЗИ, ЗАКЉУЧЦИ И ПРЕПОРУКЕ</w:t>
            </w:r>
          </w:p>
        </w:tc>
      </w:tr>
      <w:tr w:rsidR="006411F8">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pPr>
            <w:r>
              <w:rPr>
                <w:rFonts w:ascii="Times New Roman" w:eastAsia="Times New Roman" w:hAnsi="Times New Roman" w:cs="Times New Roman"/>
                <w:b/>
                <w:bCs/>
                <w:color w:val="000000"/>
                <w:sz w:val="20"/>
                <w:szCs w:val="20"/>
              </w:rPr>
              <w:t xml:space="preserve">Претходни ревизијски преглед </w:t>
            </w:r>
            <w:r>
              <w:rPr>
                <w:rFonts w:ascii="Times New Roman" w:eastAsia="Times New Roman" w:hAnsi="Times New Roman" w:cs="Times New Roman"/>
                <w:color w:val="000000"/>
                <w:sz w:val="20"/>
                <w:szCs w:val="20"/>
              </w:rPr>
              <w:t>(спровођење препорука из претходне ревизије)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6411F8">
            <w:pPr>
              <w:spacing w:after="0" w:line="240" w:lineRule="auto"/>
              <w:jc w:val="both"/>
              <w:rPr>
                <w:rFonts w:ascii="Times New Roman" w:eastAsia="Times New Roman" w:hAnsi="Times New Roman" w:cs="Times New Roman"/>
                <w:color w:val="000000"/>
                <w:sz w:val="24"/>
                <w:szCs w:val="24"/>
              </w:rPr>
            </w:pPr>
          </w:p>
        </w:tc>
      </w:tr>
      <w:tr w:rsidR="006411F8">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 xml:space="preserve">Осигурати да се дневно одобравају обавезе за исплату од стране надлежне особе. </w:t>
            </w:r>
          </w:p>
        </w:tc>
      </w:tr>
      <w:tr w:rsidR="006411F8">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(постојеће стање, очекивано стање, одступања постојећег од очекиваног стања, узроци одступања постојећег од очекиваног стања, учинци утврђених</w:t>
            </w:r>
            <w:r>
              <w:rPr>
                <w:rFonts w:ascii="Times New Roman" w:eastAsia="Times New Roman" w:hAnsi="Times New Roman" w:cs="Times New Roman"/>
                <w:color w:val="000000"/>
                <w:sz w:val="20"/>
                <w:szCs w:val="20"/>
              </w:rPr>
              <w:t xml:space="preserve">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 Приликом плаћања, повлачи се извјештај о унесеним обавезама у трезорску апликацију који се дневно доставља надлежној особи за одобравање исплате. Разлог за такву процедуру се налази у томе да повремено недостаје финансијских средстава, те с</w:t>
            </w:r>
            <w:r>
              <w:rPr>
                <w:rFonts w:ascii="Times New Roman" w:eastAsia="Times New Roman" w:hAnsi="Times New Roman" w:cs="Times New Roman"/>
                <w:color w:val="000000"/>
                <w:sz w:val="20"/>
                <w:szCs w:val="20"/>
              </w:rPr>
              <w:t>е одређене исплате пролонгирају за наредни период. За ову интерну ревизију достављени су извјештаји о плаћањима за период 24.10. – 13.11.2023. године и сваки појединачни од њих садржавао је потпис и печат надлежне особе. На прегледу плаћања налазе се подац</w:t>
            </w:r>
            <w:r>
              <w:rPr>
                <w:rFonts w:ascii="Times New Roman" w:eastAsia="Times New Roman" w:hAnsi="Times New Roman" w:cs="Times New Roman"/>
                <w:color w:val="000000"/>
                <w:sz w:val="20"/>
                <w:szCs w:val="20"/>
              </w:rPr>
              <w:t>и као што су прималац средстава, датум, назив банке, плаћени износ и слично.</w:t>
            </w:r>
          </w:p>
        </w:tc>
      </w:tr>
      <w:tr w:rsidR="006411F8">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pPr>
            <w:r>
              <w:rPr>
                <w:rFonts w:ascii="Times New Roman" w:eastAsia="Times New Roman" w:hAnsi="Times New Roman" w:cs="Times New Roman"/>
                <w:b/>
                <w:bCs/>
                <w:color w:val="000000"/>
                <w:sz w:val="20"/>
                <w:szCs w:val="20"/>
              </w:rPr>
              <w:t xml:space="preserve">Препоруке </w:t>
            </w:r>
            <w:r w:rsidR="00E60736">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E60736">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6411F8"/>
        </w:tc>
      </w:tr>
      <w:tr w:rsidR="006411F8">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Осигурати да се повремено извјештавају екстерни буџетски корисници о извршеном плаћању за претходни период.</w:t>
            </w:r>
          </w:p>
        </w:tc>
      </w:tr>
      <w:tr w:rsidR="006411F8">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(постојеће стање, очекивано стање, одступања постојећег од очекиваног стања, узроци одступања постојећег 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 Након обављеног плаћања, екстерни буџетски корисници повремено захтјевају од </w:t>
            </w:r>
            <w:r>
              <w:rPr>
                <w:rFonts w:ascii="Times New Roman" w:eastAsia="Times New Roman" w:hAnsi="Times New Roman" w:cs="Times New Roman"/>
                <w:color w:val="000000"/>
                <w:sz w:val="20"/>
                <w:szCs w:val="20"/>
              </w:rPr>
              <w:t xml:space="preserve">Одјељења за финансије извјештај о претходним плаћањима добављачима, како би се увјерили да су средства исплаћена добављачима и у износима које су они </w:t>
            </w:r>
            <w:r>
              <w:rPr>
                <w:rFonts w:ascii="Times New Roman" w:eastAsia="Times New Roman" w:hAnsi="Times New Roman" w:cs="Times New Roman"/>
                <w:color w:val="000000"/>
                <w:sz w:val="20"/>
                <w:szCs w:val="20"/>
              </w:rPr>
              <w:lastRenderedPageBreak/>
              <w:t>тражили. За ову интерну ревизију је достављен извјештај о претходним плаћањима за ЈУ Центар за културу Прњ</w:t>
            </w:r>
            <w:r>
              <w:rPr>
                <w:rFonts w:ascii="Times New Roman" w:eastAsia="Times New Roman" w:hAnsi="Times New Roman" w:cs="Times New Roman"/>
                <w:color w:val="000000"/>
                <w:sz w:val="20"/>
                <w:szCs w:val="20"/>
              </w:rPr>
              <w:t>авор за мјесец октобар 2023. године и у њему се налазе сви појединачни добављачи којима су исплаћена средства у наведеном мјесецу са износима. Овакви извјештаји се повремено достављају екстерним буџетским корисницима ради бољег усаглашавања и праћења испла</w:t>
            </w:r>
            <w:r>
              <w:rPr>
                <w:rFonts w:ascii="Times New Roman" w:eastAsia="Times New Roman" w:hAnsi="Times New Roman" w:cs="Times New Roman"/>
                <w:color w:val="000000"/>
                <w:sz w:val="20"/>
                <w:szCs w:val="20"/>
              </w:rPr>
              <w:t xml:space="preserve">ћених средстава, као и због уочавања могућих грешака приликом плаћања. Поред ЈУ Центар за културу Прњавор, постоји још неколико екстерних буџетских корисника којима се достављају овакви извјештаји као што су ЈЗУ Дом здравља Прњавор, ЈУ Центар за социјални </w:t>
            </w:r>
            <w:r>
              <w:rPr>
                <w:rFonts w:ascii="Times New Roman" w:eastAsia="Times New Roman" w:hAnsi="Times New Roman" w:cs="Times New Roman"/>
                <w:color w:val="000000"/>
                <w:sz w:val="20"/>
                <w:szCs w:val="20"/>
              </w:rPr>
              <w:t>рад Прњавор, ЈУ Гимназија Прњавор, ЈУ Центар средњих школа „Иво Андрић“ Прњавор, ЈУ Дјечији вртић „Наша радост“ Прњавор, ЈУ Народна библиотека Прњавор и ЈУ Музичка школа „Константин Бабић“ Прњавор.</w:t>
            </w:r>
          </w:p>
        </w:tc>
      </w:tr>
      <w:tr w:rsidR="006411F8">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pPr>
            <w:r>
              <w:rPr>
                <w:rFonts w:ascii="Times New Roman" w:eastAsia="Times New Roman" w:hAnsi="Times New Roman" w:cs="Times New Roman"/>
                <w:b/>
                <w:bCs/>
                <w:color w:val="000000"/>
                <w:sz w:val="20"/>
                <w:szCs w:val="20"/>
              </w:rPr>
              <w:lastRenderedPageBreak/>
              <w:t xml:space="preserve">Препоруке </w:t>
            </w:r>
            <w:r w:rsidR="002B09F1">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2B09F1">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6411F8"/>
        </w:tc>
      </w:tr>
      <w:tr w:rsidR="006411F8">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Контролни циљ</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jc w:val="both"/>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0"/>
                <w:szCs w:val="20"/>
              </w:rPr>
              <w:t>Осигурати адекватан одговор на квар ИТ система приликом плаћања.</w:t>
            </w:r>
          </w:p>
        </w:tc>
      </w:tr>
      <w:tr w:rsidR="006411F8">
        <w:trPr>
          <w:trHeight w:val="600"/>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pPr>
            <w:r>
              <w:rPr>
                <w:rFonts w:ascii="Times New Roman" w:eastAsia="Times New Roman" w:hAnsi="Times New Roman" w:cs="Times New Roman"/>
                <w:b/>
                <w:bCs/>
                <w:color w:val="000000"/>
                <w:sz w:val="20"/>
                <w:szCs w:val="20"/>
              </w:rPr>
              <w:t xml:space="preserve">Налази и закључци </w:t>
            </w:r>
            <w:r>
              <w:rPr>
                <w:rFonts w:ascii="Times New Roman" w:eastAsia="Times New Roman" w:hAnsi="Times New Roman" w:cs="Times New Roman"/>
                <w:color w:val="000000"/>
                <w:sz w:val="20"/>
                <w:szCs w:val="20"/>
              </w:rPr>
              <w:t>(постојеће стање, очекивано стање, одступања постојећег од очекиваног стања, узроци одступања постојећег од очекиваног стања, учинци утврђених слабости):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w:t>
            </w:r>
            <w:r>
              <w:rPr>
                <w:rFonts w:ascii="Times New Roman" w:eastAsia="Times New Roman" w:hAnsi="Times New Roman" w:cs="Times New Roman"/>
                <w:color w:val="000000"/>
                <w:sz w:val="20"/>
                <w:szCs w:val="20"/>
              </w:rPr>
              <w:t xml:space="preserve"> Уколико се деси квар ИТ система приликом плаћања, Одјељење за финансије се у таквим ситуацијама телефонски или путем мејла обраћа надлежном ресору у оквиру Министарства финансија и такве нежељене ситуације се у већини случајева отклањају врло брзо и ефика</w:t>
            </w:r>
            <w:r>
              <w:rPr>
                <w:rFonts w:ascii="Times New Roman" w:eastAsia="Times New Roman" w:hAnsi="Times New Roman" w:cs="Times New Roman"/>
                <w:color w:val="000000"/>
                <w:sz w:val="20"/>
                <w:szCs w:val="20"/>
              </w:rPr>
              <w:t>сно од стране овог ресора.</w:t>
            </w:r>
          </w:p>
        </w:tc>
      </w:tr>
      <w:tr w:rsidR="006411F8">
        <w:trPr>
          <w:trHeight w:val="37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pPr>
            <w:r>
              <w:rPr>
                <w:rFonts w:ascii="Times New Roman" w:eastAsia="Times New Roman" w:hAnsi="Times New Roman" w:cs="Times New Roman"/>
                <w:b/>
                <w:bCs/>
                <w:color w:val="000000"/>
                <w:sz w:val="20"/>
                <w:szCs w:val="20"/>
              </w:rPr>
              <w:t xml:space="preserve">Препоруке </w:t>
            </w:r>
            <w:r w:rsidR="00D9595D">
              <w:rPr>
                <w:rFonts w:ascii="Times New Roman" w:eastAsia="Times New Roman" w:hAnsi="Times New Roman" w:cs="Times New Roman"/>
                <w:color w:val="000000"/>
                <w:sz w:val="20"/>
                <w:szCs w:val="20"/>
              </w:rPr>
              <w:t>(коре</w:t>
            </w:r>
            <w:r>
              <w:rPr>
                <w:rFonts w:ascii="Times New Roman" w:eastAsia="Times New Roman" w:hAnsi="Times New Roman" w:cs="Times New Roman"/>
                <w:color w:val="000000"/>
                <w:sz w:val="20"/>
                <w:szCs w:val="20"/>
              </w:rPr>
              <w:t>к</w:t>
            </w:r>
            <w:r w:rsidR="00D9595D">
              <w:rPr>
                <w:rFonts w:ascii="Times New Roman" w:eastAsia="Times New Roman" w:hAnsi="Times New Roman" w:cs="Times New Roman"/>
                <w:color w:val="000000"/>
                <w:sz w:val="20"/>
                <w:szCs w:val="20"/>
                <w:lang w:val="sr-Cyrl-BA"/>
              </w:rPr>
              <w:t>т</w:t>
            </w:r>
            <w:r>
              <w:rPr>
                <w:rFonts w:ascii="Times New Roman" w:eastAsia="Times New Roman" w:hAnsi="Times New Roman" w:cs="Times New Roman"/>
                <w:color w:val="000000"/>
                <w:sz w:val="20"/>
                <w:szCs w:val="20"/>
              </w:rPr>
              <w:t>ивна активност коју треба провести):</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6411F8"/>
        </w:tc>
      </w:tr>
      <w:tr w:rsidR="006411F8">
        <w:trPr>
          <w:trHeight w:val="312"/>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pPr>
            <w:r>
              <w:rPr>
                <w:rFonts w:ascii="Times New Roman" w:eastAsia="Times New Roman" w:hAnsi="Times New Roman" w:cs="Times New Roman"/>
                <w:b/>
                <w:bCs/>
                <w:color w:val="000000"/>
                <w:sz w:val="20"/>
                <w:szCs w:val="20"/>
              </w:rPr>
              <w:t>Прихваћене:</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6411F8"/>
        </w:tc>
      </w:tr>
      <w:tr w:rsidR="006411F8">
        <w:trPr>
          <w:trHeight w:val="28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5F287E">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Коментар руководства: </w:t>
            </w: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6411F8"/>
        </w:tc>
      </w:tr>
      <w:tr w:rsidR="006411F8">
        <w:trPr>
          <w:trHeight w:val="324"/>
        </w:trPr>
        <w:tc>
          <w:tcPr>
            <w:tcW w:w="13705"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6411F8" w:rsidRDefault="005F287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ПРИЛОЗИ </w:t>
            </w:r>
          </w:p>
        </w:tc>
      </w:tr>
      <w:tr w:rsidR="006411F8">
        <w:trPr>
          <w:trHeight w:val="348"/>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6411F8">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6411F8">
            <w:pPr>
              <w:spacing w:after="0" w:line="240" w:lineRule="auto"/>
              <w:rPr>
                <w:rFonts w:ascii="Times New Roman" w:eastAsia="Times New Roman" w:hAnsi="Times New Roman" w:cs="Times New Roman"/>
                <w:color w:val="000000"/>
                <w:sz w:val="24"/>
                <w:szCs w:val="24"/>
              </w:rPr>
            </w:pPr>
          </w:p>
        </w:tc>
      </w:tr>
      <w:tr w:rsidR="006411F8">
        <w:trPr>
          <w:trHeight w:val="336"/>
        </w:trPr>
        <w:tc>
          <w:tcPr>
            <w:tcW w:w="809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6411F8">
            <w:pPr>
              <w:spacing w:after="0" w:line="240" w:lineRule="auto"/>
              <w:rPr>
                <w:rFonts w:ascii="Times New Roman" w:eastAsia="Times New Roman" w:hAnsi="Times New Roman" w:cs="Times New Roman"/>
                <w:b/>
                <w:bCs/>
                <w:color w:val="000000"/>
                <w:sz w:val="20"/>
                <w:szCs w:val="20"/>
              </w:rPr>
            </w:pPr>
          </w:p>
        </w:tc>
        <w:tc>
          <w:tcPr>
            <w:tcW w:w="56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11F8" w:rsidRDefault="006411F8">
            <w:pPr>
              <w:spacing w:after="0" w:line="240" w:lineRule="auto"/>
              <w:rPr>
                <w:rFonts w:ascii="Times New Roman" w:eastAsia="Times New Roman" w:hAnsi="Times New Roman" w:cs="Times New Roman"/>
                <w:color w:val="000000"/>
                <w:sz w:val="24"/>
                <w:szCs w:val="24"/>
              </w:rPr>
            </w:pPr>
          </w:p>
        </w:tc>
      </w:tr>
    </w:tbl>
    <w:p w:rsidR="006411F8" w:rsidRDefault="006411F8"/>
    <w:p w:rsidR="006411F8" w:rsidRDefault="006411F8"/>
    <w:tbl>
      <w:tblPr>
        <w:tblW w:w="13068" w:type="dxa"/>
        <w:tblLook w:val="0000"/>
      </w:tblPr>
      <w:tblGrid>
        <w:gridCol w:w="2157"/>
        <w:gridCol w:w="2158"/>
        <w:gridCol w:w="2158"/>
        <w:gridCol w:w="119"/>
        <w:gridCol w:w="2039"/>
        <w:gridCol w:w="2157"/>
        <w:gridCol w:w="2280"/>
      </w:tblGrid>
      <w:tr w:rsidR="006411F8">
        <w:tc>
          <w:tcPr>
            <w:tcW w:w="2157" w:type="dxa"/>
            <w:shd w:val="clear" w:color="auto" w:fill="auto"/>
          </w:tcPr>
          <w:p w:rsidR="006411F8" w:rsidRDefault="006411F8">
            <w:pPr>
              <w:spacing w:after="0" w:line="240" w:lineRule="auto"/>
              <w:jc w:val="center"/>
            </w:pPr>
          </w:p>
        </w:tc>
        <w:tc>
          <w:tcPr>
            <w:tcW w:w="2158" w:type="dxa"/>
            <w:tcBorders>
              <w:bottom w:val="single" w:sz="4" w:space="0" w:color="00000A"/>
            </w:tcBorders>
            <w:shd w:val="clear" w:color="auto" w:fill="auto"/>
          </w:tcPr>
          <w:p w:rsidR="006411F8" w:rsidRDefault="006411F8">
            <w:pPr>
              <w:spacing w:after="0" w:line="240" w:lineRule="auto"/>
              <w:jc w:val="center"/>
            </w:pPr>
          </w:p>
        </w:tc>
        <w:tc>
          <w:tcPr>
            <w:tcW w:w="2158" w:type="dxa"/>
            <w:shd w:val="clear" w:color="auto" w:fill="auto"/>
          </w:tcPr>
          <w:p w:rsidR="006411F8" w:rsidRDefault="006411F8">
            <w:pPr>
              <w:spacing w:after="0" w:line="240" w:lineRule="auto"/>
              <w:jc w:val="center"/>
            </w:pPr>
          </w:p>
        </w:tc>
        <w:tc>
          <w:tcPr>
            <w:tcW w:w="2158" w:type="dxa"/>
            <w:gridSpan w:val="2"/>
            <w:shd w:val="clear" w:color="auto" w:fill="auto"/>
          </w:tcPr>
          <w:p w:rsidR="006411F8" w:rsidRDefault="006411F8">
            <w:pPr>
              <w:spacing w:after="0" w:line="240" w:lineRule="auto"/>
              <w:jc w:val="center"/>
            </w:pPr>
          </w:p>
        </w:tc>
        <w:tc>
          <w:tcPr>
            <w:tcW w:w="2157" w:type="dxa"/>
            <w:tcBorders>
              <w:bottom w:val="single" w:sz="4" w:space="0" w:color="00000A"/>
            </w:tcBorders>
            <w:shd w:val="clear" w:color="auto" w:fill="auto"/>
          </w:tcPr>
          <w:p w:rsidR="006411F8" w:rsidRDefault="006411F8">
            <w:pPr>
              <w:spacing w:after="0" w:line="240" w:lineRule="auto"/>
              <w:jc w:val="center"/>
            </w:pPr>
          </w:p>
        </w:tc>
        <w:tc>
          <w:tcPr>
            <w:tcW w:w="2280" w:type="dxa"/>
            <w:shd w:val="clear" w:color="auto" w:fill="auto"/>
          </w:tcPr>
          <w:p w:rsidR="006411F8" w:rsidRDefault="006411F8">
            <w:pPr>
              <w:spacing w:after="0" w:line="240" w:lineRule="auto"/>
              <w:jc w:val="center"/>
            </w:pPr>
          </w:p>
        </w:tc>
      </w:tr>
      <w:tr w:rsidR="006411F8">
        <w:tc>
          <w:tcPr>
            <w:tcW w:w="6473" w:type="dxa"/>
            <w:gridSpan w:val="3"/>
            <w:shd w:val="clear" w:color="auto" w:fill="auto"/>
          </w:tcPr>
          <w:p w:rsidR="006411F8" w:rsidRPr="006A6ACE" w:rsidRDefault="006411F8">
            <w:pPr>
              <w:spacing w:after="0" w:line="240" w:lineRule="auto"/>
              <w:jc w:val="center"/>
              <w:rPr>
                <w:rFonts w:ascii="Times New Roman" w:eastAsia="Times New Roman" w:hAnsi="Times New Roman" w:cs="Times New Roman"/>
                <w:color w:val="000000"/>
                <w:lang w:val="sr-Cyrl-BA"/>
              </w:rPr>
            </w:pPr>
          </w:p>
        </w:tc>
        <w:tc>
          <w:tcPr>
            <w:tcW w:w="6595" w:type="dxa"/>
            <w:gridSpan w:val="4"/>
            <w:shd w:val="clear" w:color="auto" w:fill="auto"/>
          </w:tcPr>
          <w:p w:rsidR="006411F8" w:rsidRPr="006A6ACE" w:rsidRDefault="006A6ACE">
            <w:pPr>
              <w:spacing w:after="0" w:line="240" w:lineRule="auto"/>
              <w:jc w:val="center"/>
              <w:rPr>
                <w:rFonts w:ascii="Times New Roman" w:eastAsia="Times New Roman" w:hAnsi="Times New Roman" w:cs="Times New Roman"/>
                <w:color w:val="000000"/>
                <w:lang w:val="sr-Cyrl-BA"/>
              </w:rPr>
            </w:pPr>
            <w:r>
              <w:rPr>
                <w:rFonts w:ascii="Times New Roman" w:eastAsia="Times New Roman" w:hAnsi="Times New Roman" w:cs="Times New Roman"/>
                <w:color w:val="000000"/>
                <w:lang w:val="sr-Cyrl-BA"/>
              </w:rPr>
              <w:t>Зоран Дебељак, интерни ревизор</w:t>
            </w:r>
          </w:p>
        </w:tc>
      </w:tr>
      <w:tr w:rsidR="006411F8">
        <w:trPr>
          <w:trHeight w:val="1383"/>
        </w:trPr>
        <w:tc>
          <w:tcPr>
            <w:tcW w:w="13068" w:type="dxa"/>
            <w:gridSpan w:val="7"/>
            <w:shd w:val="clear" w:color="auto" w:fill="auto"/>
          </w:tcPr>
          <w:p w:rsidR="006411F8" w:rsidRDefault="006411F8">
            <w:pPr>
              <w:spacing w:after="0" w:line="240" w:lineRule="auto"/>
            </w:pPr>
          </w:p>
        </w:tc>
      </w:tr>
      <w:tr w:rsidR="006411F8">
        <w:tc>
          <w:tcPr>
            <w:tcW w:w="6592" w:type="dxa"/>
            <w:gridSpan w:val="4"/>
            <w:shd w:val="clear" w:color="auto" w:fill="auto"/>
          </w:tcPr>
          <w:p w:rsidR="006411F8" w:rsidRDefault="005F287E">
            <w:pPr>
              <w:spacing w:after="0" w:line="240" w:lineRule="auto"/>
            </w:pPr>
            <w:r>
              <w:rPr>
                <w:rFonts w:ascii="Times New Roman" w:hAnsi="Times New Roman" w:cs="Times New Roman"/>
              </w:rPr>
              <w:t xml:space="preserve">Коначан ревизорски извјештај је достављен: </w:t>
            </w:r>
          </w:p>
        </w:tc>
        <w:tc>
          <w:tcPr>
            <w:tcW w:w="6476" w:type="dxa"/>
            <w:gridSpan w:val="3"/>
            <w:shd w:val="clear" w:color="auto" w:fill="auto"/>
          </w:tcPr>
          <w:p w:rsidR="006411F8" w:rsidRDefault="006411F8">
            <w:pPr>
              <w:spacing w:after="0" w:line="240" w:lineRule="auto"/>
            </w:pPr>
          </w:p>
        </w:tc>
      </w:tr>
      <w:tr w:rsidR="006411F8">
        <w:trPr>
          <w:trHeight w:val="960"/>
        </w:trPr>
        <w:tc>
          <w:tcPr>
            <w:tcW w:w="13068" w:type="dxa"/>
            <w:gridSpan w:val="7"/>
            <w:shd w:val="clear" w:color="auto" w:fill="auto"/>
          </w:tcPr>
          <w:p w:rsidR="006411F8" w:rsidRDefault="005F287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Одјељење за финансије</w:t>
            </w:r>
          </w:p>
          <w:p w:rsidR="006411F8" w:rsidRDefault="005F287E">
            <w:pPr>
              <w:spacing w:after="0" w:line="240" w:lineRule="auto"/>
              <w:rPr>
                <w:rFonts w:ascii="Times New Roman" w:hAnsi="Times New Roman" w:cs="Times New Roman"/>
              </w:rPr>
            </w:pPr>
            <w:r>
              <w:rPr>
                <w:rFonts w:ascii="Times New Roman" w:hAnsi="Times New Roman" w:cs="Times New Roman"/>
              </w:rPr>
              <w:t xml:space="preserve">Руководилац </w:t>
            </w:r>
            <w:r>
              <w:rPr>
                <w:rFonts w:ascii="Times New Roman" w:hAnsi="Times New Roman" w:cs="Times New Roman"/>
              </w:rPr>
              <w:t>субјекта,</w:t>
            </w:r>
          </w:p>
          <w:p w:rsidR="006411F8" w:rsidRDefault="005F287E">
            <w:pPr>
              <w:spacing w:after="0" w:line="240" w:lineRule="auto"/>
              <w:rPr>
                <w:rFonts w:ascii="Times New Roman" w:hAnsi="Times New Roman" w:cs="Times New Roman"/>
              </w:rPr>
            </w:pPr>
            <w:r>
              <w:rPr>
                <w:rFonts w:ascii="Times New Roman" w:hAnsi="Times New Roman" w:cs="Times New Roman"/>
              </w:rPr>
              <w:t>а/а</w:t>
            </w:r>
          </w:p>
        </w:tc>
      </w:tr>
    </w:tbl>
    <w:p w:rsidR="006411F8" w:rsidRDefault="006411F8"/>
    <w:sectPr w:rsidR="006411F8" w:rsidSect="006411F8">
      <w:headerReference w:type="default" r:id="rId7"/>
      <w:pgSz w:w="15840" w:h="12240" w:orient="landscape"/>
      <w:pgMar w:top="1440" w:right="1440" w:bottom="1440" w:left="1440" w:header="709" w:footer="0" w:gutter="0"/>
      <w:pgNumType w:start="1"/>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87E" w:rsidRDefault="005F287E" w:rsidP="006411F8">
      <w:pPr>
        <w:spacing w:after="0" w:line="240" w:lineRule="auto"/>
      </w:pPr>
      <w:r>
        <w:separator/>
      </w:r>
    </w:p>
  </w:endnote>
  <w:endnote w:type="continuationSeparator" w:id="1">
    <w:p w:rsidR="005F287E" w:rsidRDefault="005F287E" w:rsidP="00641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87E" w:rsidRDefault="005F287E" w:rsidP="006411F8">
      <w:pPr>
        <w:spacing w:after="0" w:line="240" w:lineRule="auto"/>
      </w:pPr>
      <w:r>
        <w:separator/>
      </w:r>
    </w:p>
  </w:footnote>
  <w:footnote w:type="continuationSeparator" w:id="1">
    <w:p w:rsidR="005F287E" w:rsidRDefault="005F287E" w:rsidP="006411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950" w:type="dxa"/>
      <w:tblBorders>
        <w:top w:val="single" w:sz="8" w:space="0" w:color="00000A"/>
        <w:left w:val="single" w:sz="8" w:space="0" w:color="00000A"/>
        <w:right w:val="single" w:sz="8" w:space="0" w:color="000001"/>
        <w:insideV w:val="single" w:sz="8" w:space="0" w:color="000001"/>
      </w:tblBorders>
      <w:tblCellMar>
        <w:left w:w="98" w:type="dxa"/>
      </w:tblCellMar>
      <w:tblLook w:val="0000"/>
    </w:tblPr>
    <w:tblGrid>
      <w:gridCol w:w="12950"/>
    </w:tblGrid>
    <w:tr w:rsidR="006411F8">
      <w:trPr>
        <w:trHeight w:val="576"/>
      </w:trPr>
      <w:tc>
        <w:tcPr>
          <w:tcW w:w="12950" w:type="dxa"/>
          <w:tcBorders>
            <w:top w:val="single" w:sz="8" w:space="0" w:color="00000A"/>
            <w:left w:val="single" w:sz="8" w:space="0" w:color="00000A"/>
            <w:right w:val="single" w:sz="8" w:space="0" w:color="000001"/>
          </w:tcBorders>
          <w:shd w:val="clear" w:color="auto" w:fill="D9E1F2"/>
          <w:tcMar>
            <w:left w:w="98" w:type="dxa"/>
          </w:tcMar>
        </w:tcPr>
        <w:p w:rsidR="006411F8" w:rsidRDefault="005F287E">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ЈИР - Град Прњавор</w:t>
          </w:r>
        </w:p>
      </w:tc>
    </w:tr>
    <w:tr w:rsidR="006411F8">
      <w:trPr>
        <w:trHeight w:val="432"/>
      </w:trPr>
      <w:tc>
        <w:tcPr>
          <w:tcW w:w="12950" w:type="dxa"/>
          <w:tcBorders>
            <w:left w:val="single" w:sz="8" w:space="0" w:color="00000A"/>
            <w:bottom w:val="single" w:sz="4" w:space="0" w:color="00000A"/>
            <w:right w:val="single" w:sz="8" w:space="0" w:color="000001"/>
          </w:tcBorders>
          <w:shd w:val="clear" w:color="auto" w:fill="FFFFFF"/>
          <w:tcMar>
            <w:left w:w="98" w:type="dxa"/>
          </w:tcMar>
        </w:tcPr>
        <w:p w:rsidR="006411F8" w:rsidRDefault="005F287E">
          <w:pPr>
            <w:tabs>
              <w:tab w:val="left" w:pos="352"/>
              <w:tab w:val="right" w:pos="12734"/>
            </w:tabs>
            <w:spacing w:after="0" w:line="240" w:lineRule="auto"/>
            <w:jc w:val="right"/>
          </w:pPr>
          <w:r>
            <w:rPr>
              <w:rFonts w:ascii="Times New Roman" w:eastAsia="Times New Roman" w:hAnsi="Times New Roman" w:cs="Times New Roman"/>
              <w:b/>
              <w:bCs/>
              <w:sz w:val="24"/>
              <w:szCs w:val="24"/>
            </w:rPr>
            <w:t xml:space="preserve">ОБРАЗАЦ 7 </w:t>
          </w:r>
        </w:p>
      </w:tc>
    </w:tr>
  </w:tbl>
  <w:p w:rsidR="006411F8" w:rsidRDefault="006411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250E8"/>
    <w:multiLevelType w:val="multilevel"/>
    <w:tmpl w:val="21D44CF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C945C94"/>
    <w:multiLevelType w:val="multilevel"/>
    <w:tmpl w:val="0E08A43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411F8"/>
    <w:rsid w:val="002B09F1"/>
    <w:rsid w:val="005F287E"/>
    <w:rsid w:val="006411F8"/>
    <w:rsid w:val="006A6ACE"/>
    <w:rsid w:val="00B87FDF"/>
    <w:rsid w:val="00D9595D"/>
    <w:rsid w:val="00E60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1F8"/>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rsid w:val="006411F8"/>
  </w:style>
  <w:style w:type="character" w:customStyle="1" w:styleId="FooterChar">
    <w:name w:val="Footer Char"/>
    <w:basedOn w:val="DefaultParagraphFont"/>
    <w:qFormat/>
    <w:rsid w:val="006411F8"/>
  </w:style>
  <w:style w:type="character" w:styleId="CommentReference">
    <w:name w:val="annotation reference"/>
    <w:basedOn w:val="DefaultParagraphFont"/>
    <w:qFormat/>
    <w:rsid w:val="006411F8"/>
    <w:rPr>
      <w:sz w:val="16"/>
      <w:szCs w:val="16"/>
    </w:rPr>
  </w:style>
  <w:style w:type="character" w:customStyle="1" w:styleId="CommentTextChar">
    <w:name w:val="Comment Text Char"/>
    <w:basedOn w:val="DefaultParagraphFont"/>
    <w:qFormat/>
    <w:rsid w:val="006411F8"/>
    <w:rPr>
      <w:sz w:val="20"/>
      <w:szCs w:val="20"/>
    </w:rPr>
  </w:style>
  <w:style w:type="character" w:customStyle="1" w:styleId="CommentSubjectChar">
    <w:name w:val="Comment Subject Char"/>
    <w:basedOn w:val="CommentTextChar"/>
    <w:qFormat/>
    <w:rsid w:val="006411F8"/>
    <w:rPr>
      <w:b/>
      <w:bCs/>
      <w:sz w:val="20"/>
      <w:szCs w:val="20"/>
    </w:rPr>
  </w:style>
  <w:style w:type="character" w:customStyle="1" w:styleId="BalloonTextChar">
    <w:name w:val="Balloon Text Char"/>
    <w:basedOn w:val="DefaultParagraphFont"/>
    <w:qFormat/>
    <w:rsid w:val="006411F8"/>
    <w:rPr>
      <w:rFonts w:ascii="Segoe UI" w:hAnsi="Segoe UI" w:cs="Segoe UI"/>
      <w:sz w:val="18"/>
      <w:szCs w:val="18"/>
    </w:rPr>
  </w:style>
  <w:style w:type="paragraph" w:customStyle="1" w:styleId="Heading">
    <w:name w:val="Heading"/>
    <w:basedOn w:val="Normal"/>
    <w:next w:val="TextBody"/>
    <w:qFormat/>
    <w:rsid w:val="006411F8"/>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rsid w:val="006411F8"/>
    <w:pPr>
      <w:spacing w:after="140" w:line="288" w:lineRule="auto"/>
    </w:pPr>
  </w:style>
  <w:style w:type="paragraph" w:styleId="List">
    <w:name w:val="List"/>
    <w:basedOn w:val="TextBody"/>
    <w:rsid w:val="006411F8"/>
  </w:style>
  <w:style w:type="paragraph" w:styleId="Caption">
    <w:name w:val="caption"/>
    <w:basedOn w:val="Normal"/>
    <w:qFormat/>
    <w:rsid w:val="006411F8"/>
    <w:pPr>
      <w:suppressLineNumbers/>
      <w:spacing w:before="120" w:after="120"/>
    </w:pPr>
    <w:rPr>
      <w:i/>
      <w:iCs/>
      <w:sz w:val="24"/>
      <w:szCs w:val="24"/>
    </w:rPr>
  </w:style>
  <w:style w:type="paragraph" w:customStyle="1" w:styleId="Index">
    <w:name w:val="Index"/>
    <w:basedOn w:val="Normal"/>
    <w:qFormat/>
    <w:rsid w:val="006411F8"/>
    <w:pPr>
      <w:suppressLineNumbers/>
    </w:pPr>
  </w:style>
  <w:style w:type="paragraph" w:styleId="Header">
    <w:name w:val="header"/>
    <w:basedOn w:val="Normal"/>
    <w:rsid w:val="006411F8"/>
    <w:pPr>
      <w:tabs>
        <w:tab w:val="center" w:pos="4680"/>
        <w:tab w:val="right" w:pos="9360"/>
      </w:tabs>
      <w:spacing w:after="0" w:line="240" w:lineRule="auto"/>
    </w:pPr>
  </w:style>
  <w:style w:type="paragraph" w:styleId="Footer">
    <w:name w:val="footer"/>
    <w:basedOn w:val="Normal"/>
    <w:rsid w:val="006411F8"/>
    <w:pPr>
      <w:tabs>
        <w:tab w:val="center" w:pos="4680"/>
        <w:tab w:val="right" w:pos="9360"/>
      </w:tabs>
      <w:spacing w:after="0" w:line="240" w:lineRule="auto"/>
    </w:pPr>
  </w:style>
  <w:style w:type="paragraph" w:styleId="CommentText">
    <w:name w:val="annotation text"/>
    <w:basedOn w:val="Normal"/>
    <w:qFormat/>
    <w:rsid w:val="006411F8"/>
    <w:pPr>
      <w:spacing w:line="240" w:lineRule="auto"/>
    </w:pPr>
    <w:rPr>
      <w:sz w:val="20"/>
      <w:szCs w:val="20"/>
    </w:rPr>
  </w:style>
  <w:style w:type="paragraph" w:styleId="CommentSubject">
    <w:name w:val="annotation subject"/>
    <w:basedOn w:val="CommentText"/>
    <w:qFormat/>
    <w:rsid w:val="006411F8"/>
    <w:rPr>
      <w:b/>
      <w:bCs/>
    </w:rPr>
  </w:style>
  <w:style w:type="paragraph" w:styleId="BalloonText">
    <w:name w:val="Balloon Text"/>
    <w:basedOn w:val="Normal"/>
    <w:qFormat/>
    <w:rsid w:val="006411F8"/>
    <w:pPr>
      <w:spacing w:after="0" w:line="240" w:lineRule="auto"/>
    </w:pPr>
    <w:rPr>
      <w:rFonts w:ascii="Segoe UI" w:hAnsi="Segoe UI" w:cs="Segoe UI"/>
      <w:sz w:val="18"/>
      <w:szCs w:val="18"/>
    </w:rPr>
  </w:style>
  <w:style w:type="paragraph" w:styleId="ListParagraph">
    <w:name w:val="List Paragraph"/>
    <w:basedOn w:val="Normal"/>
    <w:qFormat/>
    <w:rsid w:val="006411F8"/>
    <w:pPr>
      <w:ind w:left="720"/>
      <w:contextualSpacing/>
    </w:pPr>
  </w:style>
  <w:style w:type="paragraph" w:customStyle="1" w:styleId="TableContents">
    <w:name w:val="Table Contents"/>
    <w:basedOn w:val="Normal"/>
    <w:qFormat/>
    <w:rsid w:val="006411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5</Pages>
  <Words>1069</Words>
  <Characters>6098</Characters>
  <Application>Microsoft Office Word</Application>
  <DocSecurity>0</DocSecurity>
  <Lines>50</Lines>
  <Paragraphs>14</Paragraphs>
  <ScaleCrop>false</ScaleCrop>
  <Company/>
  <LinksUpToDate>false</LinksUpToDate>
  <CharactersWithSpaces>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Dzana Bordanic</dc:creator>
  <dc:description/>
  <cp:lastModifiedBy>korisnik</cp:lastModifiedBy>
  <cp:revision>97</cp:revision>
  <dcterms:created xsi:type="dcterms:W3CDTF">2021-08-16T14:03:00Z</dcterms:created>
  <dcterms:modified xsi:type="dcterms:W3CDTF">2023-11-22T08:34:00Z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