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8F" w:rsidRDefault="00492567">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2B718F">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планирања расхода по основу утрошка енергије, комуналних и комуникационих услуга у ЈУ Центар за социјални рад Прњавор </w:t>
            </w:r>
          </w:p>
        </w:tc>
      </w:tr>
      <w:tr w:rsidR="002B718F">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872B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13/01/2025 - 04/02</w:t>
            </w:r>
            <w:r w:rsidR="00492567">
              <w:rPr>
                <w:rFonts w:ascii="Times New Roman" w:eastAsia="Times New Roman" w:hAnsi="Times New Roman" w:cs="Times New Roman"/>
                <w:color w:val="000000"/>
                <w:sz w:val="20"/>
                <w:szCs w:val="20"/>
              </w:rPr>
              <w:t>/2025</w:t>
            </w:r>
          </w:p>
        </w:tc>
      </w:tr>
      <w:tr w:rsidR="002B718F">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hAnsi="Times New Roman" w:cs="Times New Roman"/>
                <w:sz w:val="20"/>
                <w:szCs w:val="20"/>
              </w:rPr>
            </w:pPr>
            <w:r>
              <w:rPr>
                <w:rFonts w:ascii="Times New Roman" w:hAnsi="Times New Roman" w:cs="Times New Roman"/>
                <w:sz w:val="20"/>
                <w:szCs w:val="20"/>
              </w:rPr>
              <w:t>13-014-5/25</w:t>
            </w:r>
          </w:p>
        </w:tc>
      </w:tr>
      <w:tr w:rsidR="002B718F">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ЈУ Центар за социјални рад Прњавор</w:t>
            </w:r>
          </w:p>
        </w:tc>
      </w:tr>
      <w:tr w:rsidR="002B718F">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2B718F">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2B718F">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2B718F">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pStyle w:val="CommentText"/>
            </w:pPr>
            <w:r>
              <w:rPr>
                <w:rFonts w:ascii="Times New Roman" w:hAnsi="Times New Roman" w:cs="Times New Roman"/>
                <w:b/>
                <w:bCs/>
              </w:rPr>
              <w:t xml:space="preserve">Слободан текст </w:t>
            </w:r>
            <w:r>
              <w:rPr>
                <w:rFonts w:ascii="Times New Roman" w:hAnsi="Times New Roman" w:cs="Times New Roman"/>
              </w:rPr>
              <w:t xml:space="preserve">(навести  кратак опис </w:t>
            </w:r>
            <w:r>
              <w:rPr>
                <w:rFonts w:ascii="Times New Roman" w:hAnsi="Times New Roman" w:cs="Times New Roman"/>
              </w:rPr>
              <w:t>циљева и обима ревизије, нај</w:t>
            </w:r>
            <w:r w:rsidR="00603D9D">
              <w:rPr>
                <w:rFonts w:ascii="Times New Roman" w:hAnsi="Times New Roman" w:cs="Times New Roman"/>
              </w:rPr>
              <w:t xml:space="preserve">значајнијих налаза ревизије и </w:t>
            </w:r>
            <w:r w:rsidR="00603D9D">
              <w:rPr>
                <w:rFonts w:ascii="Times New Roman" w:hAnsi="Times New Roman" w:cs="Times New Roman"/>
                <w:lang w:val="sr-Cyrl-BA"/>
              </w:rPr>
              <w:t>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color w:val="000000"/>
                <w:sz w:val="20"/>
                <w:szCs w:val="20"/>
              </w:rPr>
              <w:t> При ЈУ Центар за социјални рад Прњавор постоји буџетска ставка која се односи на расходе по основу утрошка енергије, комуналних и комуникационих услуга, а циљ ове интерне реви</w:t>
            </w:r>
            <w:r>
              <w:rPr>
                <w:rFonts w:ascii="Times New Roman" w:eastAsia="Times New Roman" w:hAnsi="Times New Roman" w:cs="Times New Roman"/>
                <w:color w:val="000000"/>
                <w:sz w:val="20"/>
                <w:szCs w:val="20"/>
              </w:rPr>
              <w:t>зије је да се испита да ли је иста адекватно планирана и на који начин је утрошена.</w:t>
            </w:r>
          </w:p>
        </w:tc>
      </w:tr>
      <w:tr w:rsidR="002B718F">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2B718F">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color w:val="000000"/>
                <w:sz w:val="20"/>
                <w:szCs w:val="20"/>
              </w:rPr>
            </w:pPr>
          </w:p>
        </w:tc>
      </w:tr>
      <w:tr w:rsidR="002B718F">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color w:val="000000"/>
                <w:sz w:val="20"/>
                <w:szCs w:val="20"/>
              </w:rPr>
            </w:pPr>
          </w:p>
        </w:tc>
      </w:tr>
      <w:tr w:rsidR="002B718F">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Осигурати да је омогућено адекватно планирање расхода по основу утрошка енергије, комуналних и комуникационих услуга.  </w:t>
            </w:r>
          </w:p>
        </w:tc>
      </w:tr>
      <w:tr w:rsidR="002B718F">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2B718F" w:rsidRDefault="00492567">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документација, уговори и извјештај о планираним и реализованим средствима за буџетску ставку која се </w:t>
            </w:r>
            <w:r>
              <w:rPr>
                <w:rFonts w:ascii="Times New Roman" w:eastAsia="Times New Roman" w:hAnsi="Times New Roman" w:cs="Times New Roman"/>
                <w:color w:val="000000"/>
                <w:sz w:val="20"/>
                <w:szCs w:val="20"/>
              </w:rPr>
              <w:t xml:space="preserve">односи на утрошак енергије, комуналних и комуникационих услуга за 2024. годину </w:t>
            </w:r>
          </w:p>
        </w:tc>
      </w:tr>
      <w:tr w:rsidR="002B718F">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color w:val="000000"/>
                <w:sz w:val="20"/>
                <w:szCs w:val="20"/>
              </w:rPr>
              <w:t xml:space="preserve"> Расходи по основу утрошка енергије, комуналних, комуникационих и транспортних услуга: највише средстава са ове позиције је </w:t>
            </w:r>
            <w:r>
              <w:rPr>
                <w:rFonts w:ascii="Times New Roman" w:eastAsia="Times New Roman" w:hAnsi="Times New Roman" w:cs="Times New Roman"/>
                <w:color w:val="000000"/>
                <w:sz w:val="20"/>
                <w:szCs w:val="20"/>
              </w:rPr>
              <w:t xml:space="preserve">утрошено на поштанске услуге (72.518,10 KM), а ту су и трошкови за централно гријање, фиксни (2.324,86 </w:t>
            </w:r>
            <w:r>
              <w:rPr>
                <w:rFonts w:ascii="Times New Roman" w:eastAsia="Times New Roman" w:hAnsi="Times New Roman" w:cs="Times New Roman"/>
                <w:color w:val="000000"/>
                <w:sz w:val="20"/>
                <w:szCs w:val="20"/>
              </w:rPr>
              <w:lastRenderedPageBreak/>
              <w:t>KM) и мобилни телефон (609,63 KM), интернет (982,80 KM), водовод и канализацију, електричну енергију, нафту и нафтне деривате (6.185,73 KM) и одвоз смећа</w:t>
            </w:r>
            <w:r>
              <w:rPr>
                <w:rFonts w:ascii="Times New Roman" w:eastAsia="Times New Roman" w:hAnsi="Times New Roman" w:cs="Times New Roman"/>
                <w:color w:val="000000"/>
                <w:sz w:val="20"/>
                <w:szCs w:val="20"/>
              </w:rPr>
              <w:t>. Трошкови електричне енергије, водовода и канализације, плаћају се у складу са чланом 4. Уговора о закупу пословног простора (бр. 05/5-404.1-44/23 од 03.10.2023. године), на основу стварне потрошње, коју закупац и закуподавац утврђују крајем мјесеца очита</w:t>
            </w:r>
            <w:r>
              <w:rPr>
                <w:rFonts w:ascii="Times New Roman" w:eastAsia="Times New Roman" w:hAnsi="Times New Roman" w:cs="Times New Roman"/>
                <w:color w:val="000000"/>
                <w:sz w:val="20"/>
                <w:szCs w:val="20"/>
              </w:rPr>
              <w:t>њем контролних сатова за струју и воду. Трошкови гријања се плаћају у складу са Уговором о испоруци топлотне енергије за загријавање пословног простора који се закључује за сваку грејну сезону (уговор бр. 05/5-404.1-56/24 од 24.10.2024. године). У власништ</w:t>
            </w:r>
            <w:r>
              <w:rPr>
                <w:rFonts w:ascii="Times New Roman" w:eastAsia="Times New Roman" w:hAnsi="Times New Roman" w:cs="Times New Roman"/>
                <w:color w:val="000000"/>
                <w:sz w:val="20"/>
                <w:szCs w:val="20"/>
              </w:rPr>
              <w:t>ву ЈУ Центра за социјални рад Прњавор су три службена аутомобила која се користе за теренски рад службеника, те је стога закључен уговор за испоруку горива и нафтних деривата са предузећем „Лебурић комерц“ доо Прњавор (бр. 05/5-404.1-02/24 од 04.01.2024. г</w:t>
            </w:r>
            <w:r>
              <w:rPr>
                <w:rFonts w:ascii="Times New Roman" w:eastAsia="Times New Roman" w:hAnsi="Times New Roman" w:cs="Times New Roman"/>
                <w:color w:val="000000"/>
                <w:sz w:val="20"/>
                <w:szCs w:val="20"/>
              </w:rPr>
              <w:t>одине). У Центру се користе двије фиксне телефоније и двије мобилне (једна је у систему допуне, а друга у виду претплате - једна мобилна телефонија се користи за потребе организовања приправности у складу са Законом о социјалној заштити РС гдје је радник о</w:t>
            </w:r>
            <w:r>
              <w:rPr>
                <w:rFonts w:ascii="Times New Roman" w:eastAsia="Times New Roman" w:hAnsi="Times New Roman" w:cs="Times New Roman"/>
                <w:color w:val="000000"/>
                <w:sz w:val="20"/>
                <w:szCs w:val="20"/>
              </w:rPr>
              <w:t>бавезан да буде доступан надлежним институцијама 24 часа). Расходи за поштанске услуге представљају највеће материјалне трошкове, а они се односе на редовне пошиљке од којих су најзначајније позиви странкама у управном поступку и достава рјешења управног п</w:t>
            </w:r>
            <w:r>
              <w:rPr>
                <w:rFonts w:ascii="Times New Roman" w:eastAsia="Times New Roman" w:hAnsi="Times New Roman" w:cs="Times New Roman"/>
                <w:color w:val="000000"/>
                <w:sz w:val="20"/>
                <w:szCs w:val="20"/>
              </w:rPr>
              <w:t xml:space="preserve">оступка, затим доставу новца од социјалних давања до крајњих корисника и штампање упутница за исплату. Цијене на поштанске пошиљке су промјењиве из разлога што се цијена формира према тежини пошиљке. Цијене које се примјењују за пренос поштанских упутница </w:t>
            </w:r>
            <w:r>
              <w:rPr>
                <w:rFonts w:ascii="Times New Roman" w:eastAsia="Times New Roman" w:hAnsi="Times New Roman" w:cs="Times New Roman"/>
                <w:color w:val="000000"/>
                <w:sz w:val="20"/>
                <w:szCs w:val="20"/>
              </w:rPr>
              <w:t>су фиксне јер за исте постоји цјеновник којим је дефинисана стопа 2,5 % вриједности од висине износа на поштанској упутници. Раст броја корисника социјалних давања из године у годину повећава трошкове поштанских услуга.</w:t>
            </w:r>
          </w:p>
        </w:tc>
      </w:tr>
      <w:tr w:rsidR="002B718F">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pStyle w:val="CommentText"/>
            </w:pPr>
            <w:r>
              <w:rPr>
                <w:rFonts w:ascii="Times New Roman" w:eastAsia="Times New Roman" w:hAnsi="Times New Roman" w:cs="Times New Roman"/>
                <w:b/>
                <w:bCs/>
                <w:color w:val="000000"/>
              </w:rPr>
              <w:lastRenderedPageBreak/>
              <w:t>1.6. Позитивни налази</w:t>
            </w:r>
            <w:r>
              <w:rPr>
                <w:rFonts w:ascii="Times New Roman" w:eastAsia="Times New Roman" w:hAnsi="Times New Roman" w:cs="Times New Roman"/>
                <w:color w:val="000000"/>
              </w:rPr>
              <w:t>:</w:t>
            </w:r>
          </w:p>
          <w:p w:rsidR="002B718F" w:rsidRDefault="002B718F">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У циљу смањења трошкова поштанских услуга, доставу поштанских пошиљки (писма) на подручју урбаног дијела града, уручује радник центра. На овај начин, током 2024. године, уручено је преко 700 пошиљки. Такође, уз договор са </w:t>
            </w:r>
            <w:r>
              <w:rPr>
                <w:rFonts w:ascii="Times New Roman" w:eastAsia="Times New Roman" w:hAnsi="Times New Roman" w:cs="Times New Roman"/>
                <w:color w:val="000000"/>
                <w:sz w:val="20"/>
                <w:szCs w:val="20"/>
              </w:rPr>
              <w:lastRenderedPageBreak/>
              <w:t>корисницима, одређена рјешења се у</w:t>
            </w:r>
            <w:r>
              <w:rPr>
                <w:rFonts w:ascii="Times New Roman" w:eastAsia="Times New Roman" w:hAnsi="Times New Roman" w:cs="Times New Roman"/>
                <w:color w:val="000000"/>
                <w:sz w:val="20"/>
                <w:szCs w:val="20"/>
              </w:rPr>
              <w:t>ручују лично у просторијама центра. На иницијативу наших корисника и рачуноводства исплате новчаних давања корисницима се врше путем банки. Како би се ублажила промјењива цијена нафте и нафтних деривата, једном седмично се планирају теренске посјете, а све</w:t>
            </w:r>
            <w:r>
              <w:rPr>
                <w:rFonts w:ascii="Times New Roman" w:eastAsia="Times New Roman" w:hAnsi="Times New Roman" w:cs="Times New Roman"/>
                <w:color w:val="000000"/>
                <w:sz w:val="20"/>
                <w:szCs w:val="20"/>
              </w:rPr>
              <w:t xml:space="preserve"> у циљу економичног трошења горива службених возила. </w:t>
            </w:r>
          </w:p>
        </w:tc>
      </w:tr>
      <w:tr w:rsidR="002B718F">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lastRenderedPageBreak/>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color w:val="000000"/>
                <w:sz w:val="20"/>
                <w:szCs w:val="20"/>
              </w:rPr>
            </w:pPr>
          </w:p>
        </w:tc>
      </w:tr>
      <w:tr w:rsidR="002B718F">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color w:val="000000"/>
                <w:sz w:val="20"/>
                <w:szCs w:val="20"/>
              </w:rPr>
            </w:pPr>
          </w:p>
        </w:tc>
      </w:tr>
      <w:tr w:rsidR="002B718F">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color w:val="000000"/>
                <w:sz w:val="20"/>
                <w:szCs w:val="20"/>
              </w:rPr>
            </w:pPr>
          </w:p>
        </w:tc>
      </w:tr>
      <w:tr w:rsidR="002B718F">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2B718F" w:rsidRDefault="00492567">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2B718F">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jc w:val="both"/>
              <w:rPr>
                <w:rFonts w:ascii="Times New Roman" w:eastAsia="Times New Roman" w:hAnsi="Times New Roman" w:cs="Times New Roman"/>
                <w:color w:val="000000"/>
                <w:sz w:val="24"/>
                <w:szCs w:val="24"/>
              </w:rPr>
            </w:pPr>
          </w:p>
        </w:tc>
      </w:tr>
      <w:tr w:rsidR="002B718F">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је омогућено адекватно планирање расхода по основу утрошка енергије, комуналних и комуникационих услуга.  </w:t>
            </w:r>
          </w:p>
        </w:tc>
      </w:tr>
      <w:tr w:rsidR="002B718F">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w:t>
            </w:r>
            <w:r>
              <w:rPr>
                <w:rFonts w:ascii="Times New Roman" w:eastAsia="Times New Roman" w:hAnsi="Times New Roman" w:cs="Times New Roman"/>
                <w:color w:val="000000"/>
                <w:sz w:val="20"/>
                <w:szCs w:val="20"/>
              </w:rPr>
              <w:t>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У току 2024. године приликом утрошка ревидиране буџетске  ставке поступало се по основу неколико склопљених уговора. На основу уговора о набавци погонског горива на сваких пола мјесеца пристизали су рачуни о точеном</w:t>
            </w:r>
            <w:r>
              <w:rPr>
                <w:rFonts w:ascii="Times New Roman" w:eastAsia="Times New Roman" w:hAnsi="Times New Roman" w:cs="Times New Roman"/>
                <w:color w:val="000000"/>
                <w:sz w:val="20"/>
                <w:szCs w:val="20"/>
              </w:rPr>
              <w:t xml:space="preserve"> гориву у наведеном периоду који су уредно плаћани, а сваки рачун је садржавао спецификацију у којој је тачно наведено које од три возила центра је точило гориво, када и у којој количини. Што се тиче поштанских услуга, и ту такође постоји уговор који је ур</w:t>
            </w:r>
            <w:r>
              <w:rPr>
                <w:rFonts w:ascii="Times New Roman" w:eastAsia="Times New Roman" w:hAnsi="Times New Roman" w:cs="Times New Roman"/>
                <w:color w:val="000000"/>
                <w:sz w:val="20"/>
                <w:szCs w:val="20"/>
              </w:rPr>
              <w:t xml:space="preserve">едно испоштован, а поштанске услуге су неопходне за рад центра због многобројних корисника, те се највише средстава утроши са ревидиране буџетске ставке управо на поштанске услуге. ЈУ Центар за социјални рад Прњавор користи за рад пословне просторије које </w:t>
            </w:r>
            <w:r>
              <w:rPr>
                <w:rFonts w:ascii="Times New Roman" w:eastAsia="Times New Roman" w:hAnsi="Times New Roman" w:cs="Times New Roman"/>
                <w:color w:val="000000"/>
                <w:sz w:val="20"/>
                <w:szCs w:val="20"/>
              </w:rPr>
              <w:t>припадају ЈЗУ Дом здравља Прњавор са којим је склопљен уговор о закупу у којем је дефинисано да трошкове електричне енергије, воде и гријања сноси сам центар. Наведени рачуни су уредно плаћани током 2024. године, а постоји и посебан уговор за одржавање топ</w:t>
            </w:r>
            <w:r>
              <w:rPr>
                <w:rFonts w:ascii="Times New Roman" w:eastAsia="Times New Roman" w:hAnsi="Times New Roman" w:cs="Times New Roman"/>
                <w:color w:val="000000"/>
                <w:sz w:val="20"/>
                <w:szCs w:val="20"/>
              </w:rPr>
              <w:t xml:space="preserve">лотне енергије центра. Такође још постоји уговор са комуналним предузећем за одвоз смећа, као и уговор за кориштење телекомуникационих услуга за службене телефоне </w:t>
            </w:r>
            <w:r>
              <w:rPr>
                <w:rFonts w:ascii="Times New Roman" w:eastAsia="Times New Roman" w:hAnsi="Times New Roman" w:cs="Times New Roman"/>
                <w:color w:val="000000"/>
                <w:sz w:val="20"/>
                <w:szCs w:val="20"/>
              </w:rPr>
              <w:lastRenderedPageBreak/>
              <w:t xml:space="preserve">центра чији рачуни су такође уредно плаћани током 2024. године. </w:t>
            </w:r>
          </w:p>
        </w:tc>
      </w:tr>
      <w:tr w:rsidR="002B718F">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C72EB9">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C72EB9">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 xml:space="preserve">ивна </w:t>
            </w:r>
            <w:r>
              <w:rPr>
                <w:rFonts w:ascii="Times New Roman" w:eastAsia="Times New Roman" w:hAnsi="Times New Roman" w:cs="Times New Roman"/>
                <w:color w:val="000000"/>
                <w:sz w:val="20"/>
                <w:szCs w:val="20"/>
              </w:rPr>
              <w:t>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tc>
      </w:tr>
      <w:tr w:rsidR="002B718F">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tc>
      </w:tr>
      <w:tr w:rsidR="002B718F">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49256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tc>
      </w:tr>
      <w:tr w:rsidR="002B718F">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2B718F" w:rsidRDefault="0049256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2B718F">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color w:val="000000"/>
                <w:sz w:val="24"/>
                <w:szCs w:val="24"/>
              </w:rPr>
            </w:pPr>
          </w:p>
        </w:tc>
      </w:tr>
      <w:tr w:rsidR="002B718F">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18F" w:rsidRDefault="002B718F">
            <w:pPr>
              <w:spacing w:after="0" w:line="240" w:lineRule="auto"/>
              <w:rPr>
                <w:rFonts w:ascii="Times New Roman" w:eastAsia="Times New Roman" w:hAnsi="Times New Roman" w:cs="Times New Roman"/>
                <w:color w:val="000000"/>
                <w:sz w:val="24"/>
                <w:szCs w:val="24"/>
              </w:rPr>
            </w:pPr>
          </w:p>
        </w:tc>
      </w:tr>
    </w:tbl>
    <w:p w:rsidR="002B718F" w:rsidRDefault="002B718F"/>
    <w:p w:rsidR="002B718F" w:rsidRDefault="002B718F"/>
    <w:tbl>
      <w:tblPr>
        <w:tblW w:w="13068" w:type="dxa"/>
        <w:tblLook w:val="0000"/>
      </w:tblPr>
      <w:tblGrid>
        <w:gridCol w:w="2157"/>
        <w:gridCol w:w="2158"/>
        <w:gridCol w:w="2158"/>
        <w:gridCol w:w="119"/>
        <w:gridCol w:w="2039"/>
        <w:gridCol w:w="2157"/>
        <w:gridCol w:w="2280"/>
      </w:tblGrid>
      <w:tr w:rsidR="002B718F">
        <w:tc>
          <w:tcPr>
            <w:tcW w:w="2157" w:type="dxa"/>
            <w:shd w:val="clear" w:color="auto" w:fill="auto"/>
          </w:tcPr>
          <w:p w:rsidR="002B718F" w:rsidRDefault="002B718F">
            <w:pPr>
              <w:spacing w:after="0" w:line="240" w:lineRule="auto"/>
              <w:jc w:val="center"/>
            </w:pPr>
          </w:p>
        </w:tc>
        <w:tc>
          <w:tcPr>
            <w:tcW w:w="2158" w:type="dxa"/>
            <w:tcBorders>
              <w:bottom w:val="single" w:sz="4" w:space="0" w:color="00000A"/>
            </w:tcBorders>
            <w:shd w:val="clear" w:color="auto" w:fill="auto"/>
          </w:tcPr>
          <w:p w:rsidR="002B718F" w:rsidRDefault="002B718F">
            <w:pPr>
              <w:spacing w:after="0" w:line="240" w:lineRule="auto"/>
              <w:jc w:val="center"/>
            </w:pPr>
          </w:p>
        </w:tc>
        <w:tc>
          <w:tcPr>
            <w:tcW w:w="2158" w:type="dxa"/>
            <w:shd w:val="clear" w:color="auto" w:fill="auto"/>
          </w:tcPr>
          <w:p w:rsidR="002B718F" w:rsidRDefault="002B718F">
            <w:pPr>
              <w:spacing w:after="0" w:line="240" w:lineRule="auto"/>
              <w:jc w:val="center"/>
            </w:pPr>
          </w:p>
        </w:tc>
        <w:tc>
          <w:tcPr>
            <w:tcW w:w="2158" w:type="dxa"/>
            <w:gridSpan w:val="2"/>
            <w:shd w:val="clear" w:color="auto" w:fill="auto"/>
          </w:tcPr>
          <w:p w:rsidR="002B718F" w:rsidRDefault="002B718F">
            <w:pPr>
              <w:spacing w:after="0" w:line="240" w:lineRule="auto"/>
              <w:jc w:val="center"/>
            </w:pPr>
          </w:p>
        </w:tc>
        <w:tc>
          <w:tcPr>
            <w:tcW w:w="2157" w:type="dxa"/>
            <w:tcBorders>
              <w:bottom w:val="single" w:sz="4" w:space="0" w:color="00000A"/>
            </w:tcBorders>
            <w:shd w:val="clear" w:color="auto" w:fill="auto"/>
          </w:tcPr>
          <w:p w:rsidR="002B718F" w:rsidRDefault="002B718F">
            <w:pPr>
              <w:spacing w:after="0" w:line="240" w:lineRule="auto"/>
              <w:jc w:val="center"/>
            </w:pPr>
          </w:p>
        </w:tc>
        <w:tc>
          <w:tcPr>
            <w:tcW w:w="2280" w:type="dxa"/>
            <w:shd w:val="clear" w:color="auto" w:fill="auto"/>
          </w:tcPr>
          <w:p w:rsidR="002B718F" w:rsidRDefault="002B718F">
            <w:pPr>
              <w:spacing w:after="0" w:line="240" w:lineRule="auto"/>
              <w:jc w:val="center"/>
            </w:pPr>
          </w:p>
        </w:tc>
      </w:tr>
      <w:tr w:rsidR="002B718F">
        <w:tc>
          <w:tcPr>
            <w:tcW w:w="6473" w:type="dxa"/>
            <w:gridSpan w:val="3"/>
            <w:shd w:val="clear" w:color="auto" w:fill="auto"/>
          </w:tcPr>
          <w:p w:rsidR="002B718F" w:rsidRPr="00C72EB9" w:rsidRDefault="002B718F">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2B718F" w:rsidRPr="00C72EB9" w:rsidRDefault="00C72EB9">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2B718F">
        <w:trPr>
          <w:trHeight w:val="1383"/>
        </w:trPr>
        <w:tc>
          <w:tcPr>
            <w:tcW w:w="13068" w:type="dxa"/>
            <w:gridSpan w:val="7"/>
            <w:shd w:val="clear" w:color="auto" w:fill="auto"/>
          </w:tcPr>
          <w:p w:rsidR="002B718F" w:rsidRDefault="002B718F">
            <w:pPr>
              <w:spacing w:after="0" w:line="240" w:lineRule="auto"/>
            </w:pPr>
          </w:p>
        </w:tc>
      </w:tr>
      <w:tr w:rsidR="002B718F">
        <w:tc>
          <w:tcPr>
            <w:tcW w:w="6592" w:type="dxa"/>
            <w:gridSpan w:val="4"/>
            <w:shd w:val="clear" w:color="auto" w:fill="auto"/>
          </w:tcPr>
          <w:p w:rsidR="002B718F" w:rsidRDefault="00492567">
            <w:pPr>
              <w:spacing w:after="0" w:line="240" w:lineRule="auto"/>
            </w:pPr>
            <w:r>
              <w:rPr>
                <w:rFonts w:ascii="Times New Roman" w:hAnsi="Times New Roman" w:cs="Times New Roman"/>
              </w:rPr>
              <w:t xml:space="preserve">Коначан ревизорски извјештај је достављен: </w:t>
            </w:r>
          </w:p>
        </w:tc>
        <w:tc>
          <w:tcPr>
            <w:tcW w:w="6476" w:type="dxa"/>
            <w:gridSpan w:val="3"/>
            <w:shd w:val="clear" w:color="auto" w:fill="auto"/>
          </w:tcPr>
          <w:p w:rsidR="002B718F" w:rsidRDefault="002B718F">
            <w:pPr>
              <w:spacing w:after="0" w:line="240" w:lineRule="auto"/>
            </w:pPr>
          </w:p>
        </w:tc>
      </w:tr>
      <w:tr w:rsidR="002B718F">
        <w:trPr>
          <w:trHeight w:val="960"/>
        </w:trPr>
        <w:tc>
          <w:tcPr>
            <w:tcW w:w="13068" w:type="dxa"/>
            <w:gridSpan w:val="7"/>
            <w:shd w:val="clear" w:color="auto" w:fill="auto"/>
          </w:tcPr>
          <w:p w:rsidR="002B718F" w:rsidRDefault="0049256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ЈУ Центар за социјални рад Прњавор</w:t>
            </w:r>
          </w:p>
          <w:p w:rsidR="002B718F" w:rsidRDefault="00492567">
            <w:pPr>
              <w:spacing w:after="0" w:line="240" w:lineRule="auto"/>
              <w:rPr>
                <w:rFonts w:ascii="Times New Roman" w:hAnsi="Times New Roman" w:cs="Times New Roman"/>
              </w:rPr>
            </w:pPr>
            <w:r>
              <w:rPr>
                <w:rFonts w:ascii="Times New Roman" w:hAnsi="Times New Roman" w:cs="Times New Roman"/>
              </w:rPr>
              <w:t>Руководилац субјекта,</w:t>
            </w:r>
          </w:p>
          <w:p w:rsidR="002B718F" w:rsidRDefault="00492567">
            <w:pPr>
              <w:spacing w:after="0" w:line="240" w:lineRule="auto"/>
              <w:rPr>
                <w:rFonts w:ascii="Times New Roman" w:hAnsi="Times New Roman" w:cs="Times New Roman"/>
              </w:rPr>
            </w:pPr>
            <w:r>
              <w:rPr>
                <w:rFonts w:ascii="Times New Roman" w:hAnsi="Times New Roman" w:cs="Times New Roman"/>
              </w:rPr>
              <w:t>а/а</w:t>
            </w:r>
          </w:p>
        </w:tc>
      </w:tr>
    </w:tbl>
    <w:p w:rsidR="002B718F" w:rsidRDefault="002B718F"/>
    <w:sectPr w:rsidR="002B718F" w:rsidSect="002B718F">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567" w:rsidRDefault="00492567" w:rsidP="002B718F">
      <w:pPr>
        <w:spacing w:after="0" w:line="240" w:lineRule="auto"/>
      </w:pPr>
      <w:r>
        <w:separator/>
      </w:r>
    </w:p>
  </w:endnote>
  <w:endnote w:type="continuationSeparator" w:id="1">
    <w:p w:rsidR="00492567" w:rsidRDefault="00492567" w:rsidP="002B7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567" w:rsidRDefault="00492567" w:rsidP="002B718F">
      <w:pPr>
        <w:spacing w:after="0" w:line="240" w:lineRule="auto"/>
      </w:pPr>
      <w:r>
        <w:separator/>
      </w:r>
    </w:p>
  </w:footnote>
  <w:footnote w:type="continuationSeparator" w:id="1">
    <w:p w:rsidR="00492567" w:rsidRDefault="00492567" w:rsidP="002B7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2B718F">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2B718F" w:rsidRDefault="00492567">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2B718F">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2B718F" w:rsidRDefault="00492567">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2B718F" w:rsidRDefault="002B71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74DD"/>
    <w:multiLevelType w:val="multilevel"/>
    <w:tmpl w:val="044C22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5130EFA"/>
    <w:multiLevelType w:val="multilevel"/>
    <w:tmpl w:val="A4E2F1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718F"/>
    <w:rsid w:val="002B718F"/>
    <w:rsid w:val="00492567"/>
    <w:rsid w:val="00603D9D"/>
    <w:rsid w:val="00872BC5"/>
    <w:rsid w:val="00C72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8F"/>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2B718F"/>
  </w:style>
  <w:style w:type="character" w:customStyle="1" w:styleId="FooterChar">
    <w:name w:val="Footer Char"/>
    <w:basedOn w:val="DefaultParagraphFont"/>
    <w:qFormat/>
    <w:rsid w:val="002B718F"/>
  </w:style>
  <w:style w:type="character" w:styleId="CommentReference">
    <w:name w:val="annotation reference"/>
    <w:basedOn w:val="DefaultParagraphFont"/>
    <w:qFormat/>
    <w:rsid w:val="002B718F"/>
    <w:rPr>
      <w:sz w:val="16"/>
      <w:szCs w:val="16"/>
    </w:rPr>
  </w:style>
  <w:style w:type="character" w:customStyle="1" w:styleId="CommentTextChar">
    <w:name w:val="Comment Text Char"/>
    <w:basedOn w:val="DefaultParagraphFont"/>
    <w:qFormat/>
    <w:rsid w:val="002B718F"/>
    <w:rPr>
      <w:sz w:val="20"/>
      <w:szCs w:val="20"/>
    </w:rPr>
  </w:style>
  <w:style w:type="character" w:customStyle="1" w:styleId="CommentSubjectChar">
    <w:name w:val="Comment Subject Char"/>
    <w:basedOn w:val="CommentTextChar"/>
    <w:qFormat/>
    <w:rsid w:val="002B718F"/>
    <w:rPr>
      <w:b/>
      <w:bCs/>
      <w:sz w:val="20"/>
      <w:szCs w:val="20"/>
    </w:rPr>
  </w:style>
  <w:style w:type="character" w:customStyle="1" w:styleId="BalloonTextChar">
    <w:name w:val="Balloon Text Char"/>
    <w:basedOn w:val="DefaultParagraphFont"/>
    <w:qFormat/>
    <w:rsid w:val="002B718F"/>
    <w:rPr>
      <w:rFonts w:ascii="Segoe UI" w:hAnsi="Segoe UI" w:cs="Segoe UI"/>
      <w:sz w:val="18"/>
      <w:szCs w:val="18"/>
    </w:rPr>
  </w:style>
  <w:style w:type="paragraph" w:customStyle="1" w:styleId="Heading">
    <w:name w:val="Heading"/>
    <w:basedOn w:val="Normal"/>
    <w:next w:val="TextBody"/>
    <w:qFormat/>
    <w:rsid w:val="002B718F"/>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2B718F"/>
    <w:pPr>
      <w:spacing w:after="140" w:line="288" w:lineRule="auto"/>
    </w:pPr>
  </w:style>
  <w:style w:type="paragraph" w:styleId="List">
    <w:name w:val="List"/>
    <w:basedOn w:val="TextBody"/>
    <w:rsid w:val="002B718F"/>
  </w:style>
  <w:style w:type="paragraph" w:styleId="Caption">
    <w:name w:val="caption"/>
    <w:basedOn w:val="Normal"/>
    <w:qFormat/>
    <w:rsid w:val="002B718F"/>
    <w:pPr>
      <w:suppressLineNumbers/>
      <w:spacing w:before="120" w:after="120"/>
    </w:pPr>
    <w:rPr>
      <w:i/>
      <w:iCs/>
      <w:sz w:val="24"/>
      <w:szCs w:val="24"/>
    </w:rPr>
  </w:style>
  <w:style w:type="paragraph" w:customStyle="1" w:styleId="Index">
    <w:name w:val="Index"/>
    <w:basedOn w:val="Normal"/>
    <w:qFormat/>
    <w:rsid w:val="002B718F"/>
    <w:pPr>
      <w:suppressLineNumbers/>
    </w:pPr>
  </w:style>
  <w:style w:type="paragraph" w:styleId="Header">
    <w:name w:val="header"/>
    <w:basedOn w:val="Normal"/>
    <w:rsid w:val="002B718F"/>
    <w:pPr>
      <w:tabs>
        <w:tab w:val="center" w:pos="4680"/>
        <w:tab w:val="right" w:pos="9360"/>
      </w:tabs>
      <w:spacing w:after="0" w:line="240" w:lineRule="auto"/>
    </w:pPr>
  </w:style>
  <w:style w:type="paragraph" w:styleId="Footer">
    <w:name w:val="footer"/>
    <w:basedOn w:val="Normal"/>
    <w:rsid w:val="002B718F"/>
    <w:pPr>
      <w:tabs>
        <w:tab w:val="center" w:pos="4680"/>
        <w:tab w:val="right" w:pos="9360"/>
      </w:tabs>
      <w:spacing w:after="0" w:line="240" w:lineRule="auto"/>
    </w:pPr>
  </w:style>
  <w:style w:type="paragraph" w:styleId="CommentText">
    <w:name w:val="annotation text"/>
    <w:basedOn w:val="Normal"/>
    <w:qFormat/>
    <w:rsid w:val="002B718F"/>
    <w:pPr>
      <w:spacing w:line="240" w:lineRule="auto"/>
    </w:pPr>
    <w:rPr>
      <w:sz w:val="20"/>
      <w:szCs w:val="20"/>
    </w:rPr>
  </w:style>
  <w:style w:type="paragraph" w:styleId="CommentSubject">
    <w:name w:val="annotation subject"/>
    <w:basedOn w:val="CommentText"/>
    <w:qFormat/>
    <w:rsid w:val="002B718F"/>
    <w:rPr>
      <w:b/>
      <w:bCs/>
    </w:rPr>
  </w:style>
  <w:style w:type="paragraph" w:styleId="BalloonText">
    <w:name w:val="Balloon Text"/>
    <w:basedOn w:val="Normal"/>
    <w:qFormat/>
    <w:rsid w:val="002B718F"/>
    <w:pPr>
      <w:spacing w:after="0" w:line="240" w:lineRule="auto"/>
    </w:pPr>
    <w:rPr>
      <w:rFonts w:ascii="Segoe UI" w:hAnsi="Segoe UI" w:cs="Segoe UI"/>
      <w:sz w:val="18"/>
      <w:szCs w:val="18"/>
    </w:rPr>
  </w:style>
  <w:style w:type="paragraph" w:styleId="ListParagraph">
    <w:name w:val="List Paragraph"/>
    <w:basedOn w:val="Normal"/>
    <w:qFormat/>
    <w:rsid w:val="002B718F"/>
    <w:pPr>
      <w:ind w:left="720"/>
      <w:contextualSpacing/>
    </w:pPr>
  </w:style>
  <w:style w:type="paragraph" w:customStyle="1" w:styleId="TableContents">
    <w:name w:val="Table Contents"/>
    <w:basedOn w:val="Normal"/>
    <w:qFormat/>
    <w:rsid w:val="002B71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4</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94</cp:revision>
  <dcterms:created xsi:type="dcterms:W3CDTF">2021-08-16T14:03:00Z</dcterms:created>
  <dcterms:modified xsi:type="dcterms:W3CDTF">2025-01-29T07:38:00Z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